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3666" w14:textId="77777777" w:rsidR="00672249" w:rsidRDefault="00E5629D">
      <w:pPr>
        <w:spacing w:after="160" w:line="259" w:lineRule="auto"/>
        <w:rPr>
          <w:sz w:val="28"/>
          <w:szCs w:val="28"/>
        </w:rPr>
      </w:pPr>
      <w:proofErr w:type="gramStart"/>
      <w:r>
        <w:rPr>
          <w:rFonts w:ascii="Cambria" w:eastAsia="Cambria" w:hAnsi="Cambria" w:cs="Cambria"/>
          <w:color w:val="002060"/>
          <w:sz w:val="28"/>
          <w:szCs w:val="28"/>
        </w:rPr>
        <w:t>M</w:t>
      </w:r>
      <w:r>
        <w:rPr>
          <w:rFonts w:ascii="Cambria" w:eastAsia="Cambria" w:hAnsi="Cambria" w:cs="Cambria"/>
          <w:color w:val="002060"/>
          <w:sz w:val="28"/>
          <w:szCs w:val="28"/>
        </w:rPr>
        <w:t>ASTERS OF MASS</w:t>
      </w:r>
      <w:proofErr w:type="gramEnd"/>
      <w:r>
        <w:rPr>
          <w:rFonts w:ascii="Cambria" w:eastAsia="Cambria" w:hAnsi="Cambria" w:cs="Cambria"/>
          <w:color w:val="002060"/>
          <w:sz w:val="28"/>
          <w:szCs w:val="28"/>
        </w:rPr>
        <w:t xml:space="preserve"> TORT: MASS TORT SPEED SESSION</w:t>
      </w:r>
    </w:p>
    <w:p w14:paraId="23AEBF53" w14:textId="77777777" w:rsidR="00672249" w:rsidRDefault="00E5629D">
      <w:pPr>
        <w:spacing w:after="160" w:line="259" w:lineRule="auto"/>
        <w:rPr>
          <w:sz w:val="28"/>
          <w:szCs w:val="28"/>
        </w:rPr>
      </w:pPr>
      <w:r>
        <w:rPr>
          <w:rFonts w:ascii="Cambria" w:eastAsia="Cambria" w:hAnsi="Cambria" w:cs="Cambria"/>
          <w:b/>
          <w:bCs/>
          <w:color w:val="002060"/>
          <w:sz w:val="28"/>
          <w:szCs w:val="28"/>
        </w:rPr>
        <w:t>NAME OF LITIGATION</w:t>
      </w:r>
      <w:r>
        <w:rPr>
          <w:rFonts w:ascii="Cambria" w:eastAsia="Cambria" w:hAnsi="Cambria" w:cs="Cambria"/>
          <w:color w:val="002060"/>
          <w:sz w:val="28"/>
          <w:szCs w:val="28"/>
        </w:rPr>
        <w:t>: PFAS Water Contamination Litigation</w:t>
      </w:r>
    </w:p>
    <w:p w14:paraId="01EE8595" w14:textId="77777777" w:rsidR="00672249" w:rsidRDefault="00E5629D">
      <w:pPr>
        <w:spacing w:after="160" w:line="259" w:lineRule="auto"/>
        <w:rPr>
          <w:sz w:val="28"/>
          <w:szCs w:val="28"/>
        </w:rPr>
      </w:pPr>
      <w:r>
        <w:rPr>
          <w:rFonts w:ascii="Cambria" w:eastAsia="Cambria" w:hAnsi="Cambria" w:cs="Cambria"/>
          <w:b/>
          <w:bCs/>
          <w:color w:val="002060"/>
          <w:sz w:val="28"/>
          <w:szCs w:val="28"/>
        </w:rPr>
        <w:t>BRIEF SUMMARY</w:t>
      </w:r>
    </w:p>
    <w:p w14:paraId="368761F9" w14:textId="77777777" w:rsidR="00672249" w:rsidRDefault="00E5629D">
      <w:pPr>
        <w:spacing w:after="160" w:line="259" w:lineRule="auto"/>
      </w:pPr>
      <w:r>
        <w:rPr>
          <w:rFonts w:ascii="Calibri" w:eastAsia="Calibri" w:hAnsi="Calibri" w:cs="Calibri"/>
          <w:color w:val="002060"/>
        </w:rPr>
        <w:t>PFAS contamination cases in both municipal and residential well water supplies are emerging</w:t>
      </w:r>
      <w:r>
        <w:rPr>
          <w:rFonts w:ascii="Calibri" w:eastAsia="Calibri" w:hAnsi="Calibri" w:cs="Calibri"/>
          <w:color w:val="002060"/>
        </w:rPr>
        <w:t xml:space="preserve"> in various states and communities and have become a significant environmental crisis. PFAS has historically not been regulated, and advisory levels vary from state to state. The resulting natural resource damage, damage to private property interests and h</w:t>
      </w:r>
      <w:r>
        <w:rPr>
          <w:rFonts w:ascii="Calibri" w:eastAsia="Calibri" w:hAnsi="Calibri" w:cs="Calibri"/>
          <w:color w:val="002060"/>
        </w:rPr>
        <w:t xml:space="preserve">uman health are the basis for the claims filed in various class actions and individual and consolidated lawsuits. The primary defendants involved include 3M, Saint </w:t>
      </w:r>
      <w:proofErr w:type="spellStart"/>
      <w:r>
        <w:rPr>
          <w:rFonts w:ascii="Calibri" w:eastAsia="Calibri" w:hAnsi="Calibri" w:cs="Calibri"/>
          <w:color w:val="002060"/>
        </w:rPr>
        <w:t>Gobain</w:t>
      </w:r>
      <w:proofErr w:type="spellEnd"/>
      <w:r>
        <w:rPr>
          <w:rFonts w:ascii="Calibri" w:eastAsia="Calibri" w:hAnsi="Calibri" w:cs="Calibri"/>
          <w:color w:val="002060"/>
        </w:rPr>
        <w:t>, Honeywell, Dupont and Worldwide Wolverine</w:t>
      </w:r>
      <w:r>
        <w:rPr>
          <w:rFonts w:ascii="Cambria" w:eastAsia="Cambria" w:hAnsi="Cambria" w:cs="Cambria"/>
          <w:color w:val="002060"/>
        </w:rPr>
        <w:t>.</w:t>
      </w:r>
    </w:p>
    <w:p w14:paraId="02C653D2" w14:textId="77777777" w:rsidR="00672249" w:rsidRDefault="00E5629D">
      <w:pPr>
        <w:spacing w:after="160" w:line="259" w:lineRule="auto"/>
        <w:rPr>
          <w:sz w:val="28"/>
          <w:szCs w:val="28"/>
        </w:rPr>
      </w:pPr>
      <w:r>
        <w:rPr>
          <w:rFonts w:ascii="Calibri" w:eastAsia="Calibri" w:hAnsi="Calibri" w:cs="Calibri"/>
          <w:b/>
          <w:bCs/>
          <w:color w:val="002060"/>
          <w:sz w:val="28"/>
          <w:szCs w:val="28"/>
        </w:rPr>
        <w:t>THE BIG PICTURE</w:t>
      </w:r>
    </w:p>
    <w:p w14:paraId="0D8A58EA" w14:textId="77777777" w:rsidR="00672249" w:rsidRDefault="00E5629D">
      <w:pPr>
        <w:spacing w:after="160" w:line="259" w:lineRule="auto"/>
      </w:pPr>
      <w:r>
        <w:rPr>
          <w:rFonts w:ascii="Calibri" w:eastAsia="Calibri" w:hAnsi="Calibri" w:cs="Calibri"/>
          <w:color w:val="002060"/>
        </w:rPr>
        <w:t>The claims against, and d</w:t>
      </w:r>
      <w:r>
        <w:rPr>
          <w:rFonts w:ascii="Calibri" w:eastAsia="Calibri" w:hAnsi="Calibri" w:cs="Calibri"/>
          <w:color w:val="002060"/>
        </w:rPr>
        <w:t>amages sought from defendants include negligence, public and private nuisance, diminution in property value, loss of use and enjoyment of property; loss of quality of life, personal injuries and illness, abatement and remediation, medical monitoring, and o</w:t>
      </w:r>
      <w:r>
        <w:rPr>
          <w:rFonts w:ascii="Calibri" w:eastAsia="Calibri" w:hAnsi="Calibri" w:cs="Calibri"/>
          <w:color w:val="002060"/>
        </w:rPr>
        <w:t>ther economic harms. The nature of the claims is determined by the role the defendant played in bringing about the damages. e.g. 3M in Minnesota for disposal, while in Michigan products liability claims, and the laws of the state in which they are brought.</w:t>
      </w:r>
      <w:r>
        <w:rPr>
          <w:rFonts w:ascii="Calibri" w:eastAsia="Calibri" w:hAnsi="Calibri" w:cs="Calibri"/>
          <w:color w:val="002060"/>
        </w:rPr>
        <w:t xml:space="preserve"> e.g. Michigan doesn’t recognize medical monitoring.</w:t>
      </w:r>
    </w:p>
    <w:p w14:paraId="0F81B047" w14:textId="77777777" w:rsidR="00672249" w:rsidRDefault="00E5629D">
      <w:pPr>
        <w:spacing w:after="160" w:line="259" w:lineRule="auto"/>
        <w:rPr>
          <w:sz w:val="28"/>
          <w:szCs w:val="28"/>
        </w:rPr>
      </w:pPr>
      <w:r>
        <w:rPr>
          <w:rFonts w:ascii="Calibri" w:eastAsia="Calibri" w:hAnsi="Calibri" w:cs="Calibri"/>
          <w:b/>
          <w:bCs/>
          <w:color w:val="002060"/>
          <w:sz w:val="28"/>
          <w:szCs w:val="28"/>
        </w:rPr>
        <w:t>THE NUMBERS</w:t>
      </w:r>
    </w:p>
    <w:p w14:paraId="7D543ECC" w14:textId="77777777" w:rsidR="00672249" w:rsidRDefault="00E5629D">
      <w:pPr>
        <w:spacing w:after="160" w:line="259" w:lineRule="auto"/>
      </w:pPr>
      <w:r>
        <w:rPr>
          <w:rFonts w:ascii="Calibri" w:eastAsia="Calibri" w:hAnsi="Calibri" w:cs="Calibri"/>
          <w:color w:val="002060"/>
        </w:rPr>
        <w:t>The discovery of PFAS contamination of public and private water supplies is rapidly growing in municipalities and states. As a result, the litigation is proliferating as described below:</w:t>
      </w:r>
    </w:p>
    <w:p w14:paraId="23FA225B" w14:textId="77777777" w:rsidR="00672249" w:rsidRDefault="00E5629D">
      <w:pPr>
        <w:numPr>
          <w:ilvl w:val="0"/>
          <w:numId w:val="1"/>
        </w:numPr>
        <w:pBdr>
          <w:left w:val="none" w:sz="0" w:space="3" w:color="auto"/>
        </w:pBdr>
        <w:ind w:hanging="342"/>
        <w:rPr>
          <w:rFonts w:ascii="Cambria" w:eastAsia="Cambria" w:hAnsi="Cambria" w:cs="Cambria"/>
          <w:b/>
          <w:bCs/>
          <w:color w:val="002060"/>
        </w:rPr>
      </w:pPr>
      <w:r>
        <w:rPr>
          <w:rFonts w:ascii="Cambria" w:eastAsia="Cambria" w:hAnsi="Cambria" w:cs="Cambria"/>
          <w:b/>
          <w:bCs/>
          <w:color w:val="002060"/>
          <w:sz w:val="28"/>
          <w:szCs w:val="28"/>
        </w:rPr>
        <w:t>CURR</w:t>
      </w:r>
      <w:r>
        <w:rPr>
          <w:rFonts w:ascii="Cambria" w:eastAsia="Cambria" w:hAnsi="Cambria" w:cs="Cambria"/>
          <w:b/>
          <w:bCs/>
          <w:color w:val="002060"/>
          <w:sz w:val="28"/>
          <w:szCs w:val="28"/>
        </w:rPr>
        <w:t>ENT LITIGATION/MDL STATUS</w:t>
      </w:r>
      <w:r>
        <w:rPr>
          <w:rFonts w:ascii="Cambria" w:eastAsia="Cambria" w:hAnsi="Cambria" w:cs="Cambria"/>
          <w:b/>
          <w:bCs/>
          <w:color w:val="002060"/>
        </w:rPr>
        <w:t xml:space="preserve">  </w:t>
      </w:r>
    </w:p>
    <w:p w14:paraId="4E04B57B" w14:textId="77777777" w:rsidR="00672249" w:rsidRDefault="00E5629D">
      <w:pPr>
        <w:numPr>
          <w:ilvl w:val="1"/>
          <w:numId w:val="1"/>
        </w:numPr>
        <w:pBdr>
          <w:left w:val="none" w:sz="0" w:space="3" w:color="auto"/>
        </w:pBdr>
        <w:ind w:hanging="357"/>
        <w:rPr>
          <w:rFonts w:ascii="Calibri" w:eastAsia="Calibri" w:hAnsi="Calibri" w:cs="Calibri"/>
          <w:b/>
          <w:bCs/>
          <w:color w:val="002060"/>
        </w:rPr>
      </w:pPr>
      <w:r>
        <w:rPr>
          <w:rFonts w:ascii="Calibri" w:eastAsia="Calibri" w:hAnsi="Calibri" w:cs="Calibri"/>
          <w:b/>
          <w:bCs/>
          <w:color w:val="002060"/>
        </w:rPr>
        <w:t>Landscape of Non AFFF National Litigation</w:t>
      </w:r>
    </w:p>
    <w:p w14:paraId="25B300E8" w14:textId="77777777" w:rsidR="00672249" w:rsidRDefault="00E5629D">
      <w:pPr>
        <w:numPr>
          <w:ilvl w:val="2"/>
          <w:numId w:val="1"/>
        </w:numPr>
        <w:pBdr>
          <w:left w:val="none" w:sz="0" w:space="4" w:color="auto"/>
        </w:pBdr>
        <w:ind w:hanging="413"/>
        <w:rPr>
          <w:rFonts w:ascii="Calibri" w:eastAsia="Calibri" w:hAnsi="Calibri" w:cs="Calibri"/>
          <w:b/>
          <w:bCs/>
          <w:color w:val="002060"/>
        </w:rPr>
      </w:pPr>
      <w:r>
        <w:rPr>
          <w:rFonts w:ascii="Calibri" w:eastAsia="Calibri" w:hAnsi="Calibri" w:cs="Calibri"/>
          <w:b/>
          <w:bCs/>
          <w:color w:val="002060"/>
        </w:rPr>
        <w:t>Michigan:</w:t>
      </w:r>
    </w:p>
    <w:p w14:paraId="5F369A39" w14:textId="77777777" w:rsidR="00672249" w:rsidRDefault="00E5629D">
      <w:pPr>
        <w:numPr>
          <w:ilvl w:val="3"/>
          <w:numId w:val="1"/>
        </w:numPr>
        <w:pBdr>
          <w:left w:val="none" w:sz="0" w:space="3" w:color="auto"/>
        </w:pBdr>
        <w:ind w:hanging="358"/>
        <w:rPr>
          <w:rFonts w:ascii="Calibri" w:eastAsia="Calibri" w:hAnsi="Calibri" w:cs="Calibri"/>
          <w:color w:val="002060"/>
        </w:rPr>
      </w:pPr>
      <w:r>
        <w:rPr>
          <w:rFonts w:ascii="Calibri" w:eastAsia="Calibri" w:hAnsi="Calibri" w:cs="Calibri"/>
          <w:color w:val="002060"/>
        </w:rPr>
        <w:t xml:space="preserve">Kent County Cases vs. Worldwide Wolverine </w:t>
      </w:r>
    </w:p>
    <w:p w14:paraId="4CC763A8" w14:textId="77777777" w:rsidR="00672249" w:rsidRDefault="00E5629D">
      <w:pPr>
        <w:numPr>
          <w:ilvl w:val="4"/>
          <w:numId w:val="1"/>
        </w:numPr>
        <w:pBdr>
          <w:left w:val="none" w:sz="0" w:space="4" w:color="auto"/>
        </w:pBdr>
        <w:ind w:hanging="351"/>
        <w:rPr>
          <w:rFonts w:ascii="Calibri" w:eastAsia="Calibri" w:hAnsi="Calibri" w:cs="Calibri"/>
          <w:color w:val="002060"/>
        </w:rPr>
      </w:pPr>
      <w:r>
        <w:rPr>
          <w:rFonts w:ascii="Calibri" w:eastAsia="Calibri" w:hAnsi="Calibri" w:cs="Calibri"/>
          <w:color w:val="002060"/>
        </w:rPr>
        <w:t>Moen v. Worldwide Wolverine (consolidated individual cases)</w:t>
      </w:r>
    </w:p>
    <w:p w14:paraId="184713E7" w14:textId="77777777" w:rsidR="00672249" w:rsidRDefault="00E5629D">
      <w:pPr>
        <w:numPr>
          <w:ilvl w:val="4"/>
          <w:numId w:val="1"/>
        </w:numPr>
        <w:pBdr>
          <w:left w:val="none" w:sz="0" w:space="3" w:color="auto"/>
        </w:pBdr>
        <w:ind w:hanging="353"/>
        <w:rPr>
          <w:rFonts w:ascii="Calibri" w:eastAsia="Calibri" w:hAnsi="Calibri" w:cs="Calibri"/>
          <w:color w:val="002060"/>
        </w:rPr>
      </w:pPr>
      <w:r>
        <w:rPr>
          <w:rFonts w:ascii="Calibri" w:eastAsia="Calibri" w:hAnsi="Calibri" w:cs="Calibri"/>
          <w:color w:val="002060"/>
        </w:rPr>
        <w:t>Johns v. WWW et al (class cases removed to WD MI Fed Ct.)</w:t>
      </w:r>
    </w:p>
    <w:p w14:paraId="79D33FA9" w14:textId="77777777" w:rsidR="00672249" w:rsidRDefault="00E5629D">
      <w:pPr>
        <w:numPr>
          <w:ilvl w:val="4"/>
          <w:numId w:val="1"/>
        </w:numPr>
        <w:pBdr>
          <w:left w:val="none" w:sz="0" w:space="4" w:color="auto"/>
        </w:pBdr>
        <w:ind w:hanging="365"/>
        <w:rPr>
          <w:rFonts w:ascii="Calibri" w:eastAsia="Calibri" w:hAnsi="Calibri" w:cs="Calibri"/>
          <w:color w:val="002060"/>
        </w:rPr>
      </w:pPr>
      <w:r>
        <w:rPr>
          <w:rFonts w:ascii="Calibri" w:eastAsia="Calibri" w:hAnsi="Calibri" w:cs="Calibri"/>
          <w:color w:val="002060"/>
        </w:rPr>
        <w:t xml:space="preserve">Nyland </w:t>
      </w:r>
      <w:r>
        <w:rPr>
          <w:rFonts w:ascii="Calibri" w:eastAsia="Calibri" w:hAnsi="Calibri" w:cs="Calibri"/>
          <w:color w:val="002060"/>
        </w:rPr>
        <w:t>Consolidated individual cases</w:t>
      </w:r>
    </w:p>
    <w:p w14:paraId="383E1FD2" w14:textId="77777777" w:rsidR="00672249" w:rsidRDefault="00E5629D">
      <w:pPr>
        <w:numPr>
          <w:ilvl w:val="4"/>
          <w:numId w:val="1"/>
        </w:numPr>
        <w:pBdr>
          <w:left w:val="none" w:sz="0" w:space="3" w:color="auto"/>
        </w:pBdr>
        <w:ind w:hanging="353"/>
        <w:rPr>
          <w:rFonts w:ascii="Calibri" w:eastAsia="Calibri" w:hAnsi="Calibri" w:cs="Calibri"/>
          <w:color w:val="002060"/>
        </w:rPr>
      </w:pPr>
      <w:r>
        <w:rPr>
          <w:rFonts w:ascii="Calibri" w:eastAsia="Calibri" w:hAnsi="Calibri" w:cs="Calibri"/>
          <w:color w:val="002060"/>
        </w:rPr>
        <w:t>Zimmerman (WD MI cases)</w:t>
      </w:r>
    </w:p>
    <w:p w14:paraId="425784A5" w14:textId="77777777" w:rsidR="00672249" w:rsidRDefault="00E5629D">
      <w:pPr>
        <w:numPr>
          <w:ilvl w:val="3"/>
          <w:numId w:val="1"/>
        </w:numPr>
        <w:pBdr>
          <w:left w:val="none" w:sz="0" w:space="3" w:color="auto"/>
        </w:pBdr>
        <w:ind w:hanging="358"/>
        <w:rPr>
          <w:rFonts w:ascii="Calibri" w:eastAsia="Calibri" w:hAnsi="Calibri" w:cs="Calibri"/>
          <w:color w:val="002060"/>
        </w:rPr>
      </w:pPr>
      <w:r>
        <w:rPr>
          <w:rFonts w:ascii="Calibri" w:eastAsia="Calibri" w:hAnsi="Calibri" w:cs="Calibri"/>
          <w:color w:val="002060"/>
        </w:rPr>
        <w:t>Parchment, MI</w:t>
      </w:r>
    </w:p>
    <w:p w14:paraId="3288811D" w14:textId="77777777" w:rsidR="00672249" w:rsidRDefault="00672249">
      <w:pPr>
        <w:ind w:left="720"/>
      </w:pPr>
    </w:p>
    <w:p w14:paraId="39CE00D7" w14:textId="77777777" w:rsidR="00672249" w:rsidRDefault="00E5629D">
      <w:pPr>
        <w:numPr>
          <w:ilvl w:val="0"/>
          <w:numId w:val="2"/>
        </w:numPr>
        <w:pBdr>
          <w:left w:val="none" w:sz="0" w:space="4" w:color="auto"/>
        </w:pBdr>
        <w:ind w:left="2160" w:hanging="400"/>
        <w:rPr>
          <w:rFonts w:ascii="Calibri" w:eastAsia="Calibri" w:hAnsi="Calibri" w:cs="Calibri"/>
          <w:b/>
          <w:bCs/>
          <w:color w:val="002060"/>
        </w:rPr>
      </w:pPr>
      <w:r>
        <w:rPr>
          <w:rFonts w:ascii="Calibri" w:eastAsia="Calibri" w:hAnsi="Calibri" w:cs="Calibri"/>
          <w:b/>
          <w:bCs/>
          <w:color w:val="002060"/>
        </w:rPr>
        <w:t>New York</w:t>
      </w:r>
    </w:p>
    <w:p w14:paraId="2F0300A3" w14:textId="77777777" w:rsidR="00672249" w:rsidRDefault="00E5629D">
      <w:pPr>
        <w:numPr>
          <w:ilvl w:val="1"/>
          <w:numId w:val="2"/>
        </w:numPr>
        <w:pBdr>
          <w:left w:val="none" w:sz="0" w:space="3" w:color="auto"/>
        </w:pBdr>
        <w:ind w:left="2880" w:hanging="358"/>
        <w:rPr>
          <w:rFonts w:ascii="Calibri" w:eastAsia="Calibri" w:hAnsi="Calibri" w:cs="Calibri"/>
          <w:color w:val="002060"/>
        </w:rPr>
      </w:pPr>
      <w:r>
        <w:rPr>
          <w:rFonts w:ascii="Calibri" w:eastAsia="Calibri" w:hAnsi="Calibri" w:cs="Calibri"/>
          <w:color w:val="002060"/>
        </w:rPr>
        <w:t>Hoosick Falls</w:t>
      </w:r>
    </w:p>
    <w:p w14:paraId="213C4076" w14:textId="77777777" w:rsidR="00672249" w:rsidRDefault="00E5629D">
      <w:pPr>
        <w:ind w:left="2880"/>
      </w:pPr>
      <w:r>
        <w:rPr>
          <w:rFonts w:ascii="Calibri" w:eastAsia="Calibri" w:hAnsi="Calibri" w:cs="Calibri"/>
          <w:i/>
          <w:iCs/>
          <w:color w:val="002060"/>
        </w:rPr>
        <w:t>Baker, et al. v. Saint-Gobain Performance Plastics</w:t>
      </w:r>
      <w:r>
        <w:rPr>
          <w:rFonts w:ascii="Calibri" w:eastAsia="Calibri" w:hAnsi="Calibri" w:cs="Calibri"/>
          <w:color w:val="002060"/>
        </w:rPr>
        <w:t xml:space="preserve">, Case No. 16-917, N.D. NY class action and individual cases; Master </w:t>
      </w:r>
      <w:r>
        <w:rPr>
          <w:rFonts w:ascii="Calibri" w:eastAsia="Calibri" w:hAnsi="Calibri" w:cs="Calibri"/>
          <w:color w:val="002060"/>
        </w:rPr>
        <w:lastRenderedPageBreak/>
        <w:t>Consolidated Complaint vs Saint-Gobain Perfor</w:t>
      </w:r>
      <w:r>
        <w:rPr>
          <w:rFonts w:ascii="Calibri" w:eastAsia="Calibri" w:hAnsi="Calibri" w:cs="Calibri"/>
          <w:color w:val="002060"/>
        </w:rPr>
        <w:t>mance Plastics Corp. and Honeywell International Inc. f/k/a Allied-Signal Inc. and/or AlliedSignal Laminate Systems, Inc.  E.I. DuPont De Nemours, and 3M Co.</w:t>
      </w:r>
      <w:r>
        <w:rPr>
          <w:rFonts w:ascii="Calibri" w:eastAsia="Calibri" w:hAnsi="Calibri" w:cs="Calibri"/>
        </w:rPr>
        <w:t xml:space="preserve"> </w:t>
      </w:r>
    </w:p>
    <w:p w14:paraId="1F81C124" w14:textId="77777777" w:rsidR="00672249" w:rsidRDefault="00E5629D">
      <w:pPr>
        <w:numPr>
          <w:ilvl w:val="0"/>
          <w:numId w:val="3"/>
        </w:numPr>
        <w:pBdr>
          <w:left w:val="none" w:sz="0" w:space="3" w:color="auto"/>
        </w:pBdr>
        <w:ind w:left="2880" w:hanging="354"/>
        <w:rPr>
          <w:rFonts w:ascii="Calibri" w:eastAsia="Calibri" w:hAnsi="Calibri" w:cs="Calibri"/>
          <w:b/>
          <w:bCs/>
          <w:color w:val="002060"/>
        </w:rPr>
      </w:pPr>
      <w:r>
        <w:rPr>
          <w:rFonts w:ascii="Calibri" w:eastAsia="Calibri" w:hAnsi="Calibri" w:cs="Calibri"/>
          <w:b/>
          <w:bCs/>
          <w:color w:val="002060"/>
        </w:rPr>
        <w:t>Petersburgh:</w:t>
      </w:r>
      <w:r>
        <w:rPr>
          <w:rFonts w:ascii="Calibri" w:eastAsia="Calibri" w:hAnsi="Calibri" w:cs="Calibri"/>
          <w:b/>
          <w:bCs/>
          <w:i/>
          <w:iCs/>
          <w:color w:val="000000"/>
        </w:rPr>
        <w:t xml:space="preserve"> </w:t>
      </w:r>
      <w:r>
        <w:rPr>
          <w:rFonts w:ascii="Calibri" w:eastAsia="Calibri" w:hAnsi="Calibri" w:cs="Calibri"/>
          <w:b/>
          <w:bCs/>
          <w:i/>
          <w:iCs/>
          <w:color w:val="002060"/>
        </w:rPr>
        <w:t xml:space="preserve">Burdick v. </w:t>
      </w:r>
      <w:proofErr w:type="spellStart"/>
      <w:r>
        <w:rPr>
          <w:rFonts w:ascii="Calibri" w:eastAsia="Calibri" w:hAnsi="Calibri" w:cs="Calibri"/>
          <w:b/>
          <w:bCs/>
          <w:i/>
          <w:iCs/>
          <w:color w:val="002060"/>
        </w:rPr>
        <w:t>Tonoga</w:t>
      </w:r>
      <w:proofErr w:type="spellEnd"/>
      <w:r>
        <w:rPr>
          <w:rFonts w:ascii="Calibri" w:eastAsia="Calibri" w:hAnsi="Calibri" w:cs="Calibri"/>
          <w:b/>
          <w:bCs/>
          <w:color w:val="002060"/>
        </w:rPr>
        <w:t xml:space="preserve">, No. 253835, Rensselaer </w:t>
      </w:r>
      <w:proofErr w:type="spellStart"/>
      <w:r>
        <w:rPr>
          <w:rFonts w:ascii="Calibri" w:eastAsia="Calibri" w:hAnsi="Calibri" w:cs="Calibri"/>
          <w:b/>
          <w:bCs/>
          <w:color w:val="002060"/>
        </w:rPr>
        <w:t>Cnty</w:t>
      </w:r>
      <w:proofErr w:type="spellEnd"/>
      <w:r>
        <w:rPr>
          <w:rFonts w:ascii="Calibri" w:eastAsia="Calibri" w:hAnsi="Calibri" w:cs="Calibri"/>
          <w:b/>
          <w:bCs/>
          <w:color w:val="002060"/>
        </w:rPr>
        <w:t xml:space="preserve">., NY Supreme Ct. </w:t>
      </w:r>
      <w:r>
        <w:rPr>
          <w:rFonts w:ascii="Calibri" w:eastAsia="Calibri" w:hAnsi="Calibri" w:cs="Calibri"/>
          <w:color w:val="002060"/>
        </w:rPr>
        <w:t>Class action and Ind</w:t>
      </w:r>
      <w:r>
        <w:rPr>
          <w:rFonts w:ascii="Calibri" w:eastAsia="Calibri" w:hAnsi="Calibri" w:cs="Calibri"/>
          <w:color w:val="002060"/>
        </w:rPr>
        <w:t>ividual cases;</w:t>
      </w:r>
    </w:p>
    <w:p w14:paraId="4FDB467D" w14:textId="77777777" w:rsidR="00672249" w:rsidRDefault="00E5629D">
      <w:pPr>
        <w:ind w:left="2880"/>
      </w:pPr>
      <w:r>
        <w:rPr>
          <w:rFonts w:ascii="Calibri" w:eastAsia="Calibri" w:hAnsi="Calibri" w:cs="Calibri"/>
          <w:color w:val="002060"/>
        </w:rPr>
        <w:t xml:space="preserve"> Classes certified </w:t>
      </w:r>
      <w:proofErr w:type="spellStart"/>
      <w:proofErr w:type="gramStart"/>
      <w:r>
        <w:rPr>
          <w:rFonts w:ascii="Calibri" w:eastAsia="Calibri" w:hAnsi="Calibri" w:cs="Calibri"/>
          <w:color w:val="002060"/>
        </w:rPr>
        <w:t>for:Town</w:t>
      </w:r>
      <w:proofErr w:type="spellEnd"/>
      <w:proofErr w:type="gramEnd"/>
      <w:r>
        <w:rPr>
          <w:rFonts w:ascii="Calibri" w:eastAsia="Calibri" w:hAnsi="Calibri" w:cs="Calibri"/>
          <w:color w:val="002060"/>
        </w:rPr>
        <w:t xml:space="preserve"> Water Property Damage Class; Private Well Property Damage Class, private Well Nuisance Class, PFOA Invasion Injury Class</w:t>
      </w:r>
    </w:p>
    <w:p w14:paraId="2A2BFD08" w14:textId="77777777" w:rsidR="00672249" w:rsidRDefault="00E5629D">
      <w:pPr>
        <w:numPr>
          <w:ilvl w:val="0"/>
          <w:numId w:val="4"/>
        </w:numPr>
        <w:pBdr>
          <w:left w:val="none" w:sz="0" w:space="4" w:color="auto"/>
        </w:pBdr>
        <w:ind w:left="2160" w:hanging="400"/>
        <w:rPr>
          <w:rFonts w:ascii="Calibri" w:eastAsia="Calibri" w:hAnsi="Calibri" w:cs="Calibri"/>
          <w:color w:val="002060"/>
        </w:rPr>
      </w:pPr>
      <w:r>
        <w:rPr>
          <w:rFonts w:ascii="Calibri" w:eastAsia="Calibri" w:hAnsi="Calibri" w:cs="Calibri"/>
          <w:b/>
          <w:bCs/>
          <w:color w:val="002060"/>
        </w:rPr>
        <w:t>Vermont</w:t>
      </w:r>
      <w:r>
        <w:rPr>
          <w:rFonts w:ascii="Calibri" w:eastAsia="Calibri" w:hAnsi="Calibri" w:cs="Calibri"/>
          <w:color w:val="002060"/>
        </w:rPr>
        <w:t>:</w:t>
      </w:r>
    </w:p>
    <w:p w14:paraId="7496EAA7" w14:textId="77777777" w:rsidR="00672249" w:rsidRDefault="00E5629D">
      <w:pPr>
        <w:numPr>
          <w:ilvl w:val="1"/>
          <w:numId w:val="4"/>
        </w:numPr>
        <w:pBdr>
          <w:left w:val="none" w:sz="0" w:space="3" w:color="auto"/>
        </w:pBdr>
        <w:ind w:left="2880" w:hanging="358"/>
        <w:rPr>
          <w:rFonts w:ascii="Calibri" w:eastAsia="Calibri" w:hAnsi="Calibri" w:cs="Calibri"/>
          <w:color w:val="002060"/>
        </w:rPr>
      </w:pPr>
      <w:r>
        <w:rPr>
          <w:rFonts w:ascii="Calibri" w:eastAsia="Calibri" w:hAnsi="Calibri" w:cs="Calibri"/>
          <w:b/>
          <w:bCs/>
          <w:color w:val="002060"/>
        </w:rPr>
        <w:t>AG Case</w:t>
      </w:r>
      <w:r>
        <w:rPr>
          <w:rFonts w:ascii="Calibri" w:eastAsia="Calibri" w:hAnsi="Calibri" w:cs="Calibri"/>
          <w:color w:val="002060"/>
        </w:rPr>
        <w:t xml:space="preserve">:  State filed suit against Saint-Gobain. In July 2017, </w:t>
      </w:r>
      <w:r>
        <w:rPr>
          <w:rFonts w:ascii="Calibri" w:eastAsia="Calibri" w:hAnsi="Calibri" w:cs="Calibri"/>
          <w:color w:val="002060"/>
        </w:rPr>
        <w:t xml:space="preserve">Saint-Gobain entered into a consent agreement to provide $20 million to extend municipal water lines to about 200 homes in the Bennington area.  </w:t>
      </w:r>
    </w:p>
    <w:p w14:paraId="5CB50533" w14:textId="77777777" w:rsidR="00672249" w:rsidRDefault="00E5629D">
      <w:pPr>
        <w:numPr>
          <w:ilvl w:val="1"/>
          <w:numId w:val="4"/>
        </w:numPr>
        <w:pBdr>
          <w:left w:val="none" w:sz="0" w:space="3" w:color="auto"/>
        </w:pBdr>
        <w:ind w:left="2880" w:hanging="358"/>
        <w:rPr>
          <w:rFonts w:ascii="Calibri" w:eastAsia="Calibri" w:hAnsi="Calibri" w:cs="Calibri"/>
          <w:color w:val="002060"/>
        </w:rPr>
      </w:pPr>
      <w:r>
        <w:rPr>
          <w:rFonts w:ascii="Calibri" w:eastAsia="Calibri" w:hAnsi="Calibri" w:cs="Calibri"/>
          <w:b/>
          <w:bCs/>
          <w:i/>
          <w:iCs/>
          <w:color w:val="002060"/>
        </w:rPr>
        <w:t>Sullivan, et al. v. Saint-Gobain Performance Plastics Corp.,</w:t>
      </w:r>
      <w:r>
        <w:rPr>
          <w:rFonts w:ascii="Calibri" w:eastAsia="Calibri" w:hAnsi="Calibri" w:cs="Calibri"/>
          <w:b/>
          <w:bCs/>
          <w:color w:val="002060"/>
        </w:rPr>
        <w:t xml:space="preserve"> 16-125, D.VT. -</w:t>
      </w:r>
      <w:r>
        <w:rPr>
          <w:rFonts w:ascii="Calibri" w:eastAsia="Calibri" w:hAnsi="Calibri" w:cs="Calibri"/>
          <w:color w:val="002060"/>
        </w:rPr>
        <w:t xml:space="preserve"> class action seeking compensation</w:t>
      </w:r>
      <w:r>
        <w:rPr>
          <w:rFonts w:ascii="Calibri" w:eastAsia="Calibri" w:hAnsi="Calibri" w:cs="Calibri"/>
          <w:color w:val="002060"/>
        </w:rPr>
        <w:t xml:space="preserve"> for property damage and medical monitoring.    </w:t>
      </w:r>
    </w:p>
    <w:p w14:paraId="27954B2C" w14:textId="77777777" w:rsidR="00672249" w:rsidRDefault="00E5629D">
      <w:pPr>
        <w:numPr>
          <w:ilvl w:val="0"/>
          <w:numId w:val="4"/>
        </w:numPr>
        <w:pBdr>
          <w:left w:val="none" w:sz="0" w:space="4" w:color="auto"/>
        </w:pBdr>
        <w:ind w:left="2160" w:hanging="413"/>
        <w:rPr>
          <w:rFonts w:ascii="Calibri" w:eastAsia="Calibri" w:hAnsi="Calibri" w:cs="Calibri"/>
          <w:color w:val="002060"/>
        </w:rPr>
      </w:pPr>
      <w:r>
        <w:rPr>
          <w:rFonts w:ascii="Calibri" w:eastAsia="Calibri" w:hAnsi="Calibri" w:cs="Calibri"/>
          <w:b/>
          <w:bCs/>
          <w:color w:val="002060"/>
        </w:rPr>
        <w:t>New Hampshire</w:t>
      </w:r>
    </w:p>
    <w:p w14:paraId="2571A211" w14:textId="77777777" w:rsidR="00672249" w:rsidRDefault="00E5629D">
      <w:pPr>
        <w:numPr>
          <w:ilvl w:val="1"/>
          <w:numId w:val="5"/>
        </w:numPr>
        <w:pBdr>
          <w:left w:val="none" w:sz="0" w:space="3" w:color="auto"/>
        </w:pBdr>
        <w:ind w:left="2880" w:hanging="358"/>
        <w:rPr>
          <w:rFonts w:ascii="Calibri" w:eastAsia="Calibri" w:hAnsi="Calibri" w:cs="Calibri"/>
          <w:color w:val="002060"/>
        </w:rPr>
      </w:pPr>
      <w:r>
        <w:rPr>
          <w:rFonts w:ascii="Calibri" w:eastAsia="Calibri" w:hAnsi="Calibri" w:cs="Calibri"/>
          <w:b/>
          <w:bCs/>
          <w:i/>
          <w:iCs/>
          <w:color w:val="002060"/>
        </w:rPr>
        <w:t>Brown et al. v.</w:t>
      </w:r>
      <w:r>
        <w:rPr>
          <w:rFonts w:ascii="Calibri" w:eastAsia="Calibri" w:hAnsi="Calibri" w:cs="Calibri"/>
          <w:b/>
          <w:bCs/>
          <w:color w:val="002060"/>
        </w:rPr>
        <w:t xml:space="preserve"> </w:t>
      </w:r>
      <w:r>
        <w:rPr>
          <w:rFonts w:ascii="Calibri" w:eastAsia="Calibri" w:hAnsi="Calibri" w:cs="Calibri"/>
          <w:b/>
          <w:bCs/>
          <w:i/>
          <w:iCs/>
          <w:color w:val="002060"/>
        </w:rPr>
        <w:t>Saint-Gobain Performance Plastics</w:t>
      </w:r>
      <w:r>
        <w:rPr>
          <w:rFonts w:ascii="Calibri" w:eastAsia="Calibri" w:hAnsi="Calibri" w:cs="Calibri"/>
          <w:b/>
          <w:bCs/>
          <w:color w:val="002060"/>
        </w:rPr>
        <w:t>, 16-242, D.NH</w:t>
      </w:r>
      <w:r>
        <w:rPr>
          <w:rFonts w:ascii="Calibri" w:eastAsia="Calibri" w:hAnsi="Calibri" w:cs="Calibri"/>
          <w:color w:val="002060"/>
        </w:rPr>
        <w:t>. Consolidated class actions</w:t>
      </w:r>
    </w:p>
    <w:p w14:paraId="136319CE" w14:textId="77777777" w:rsidR="00672249" w:rsidRDefault="00E5629D">
      <w:pPr>
        <w:numPr>
          <w:ilvl w:val="0"/>
          <w:numId w:val="4"/>
        </w:numPr>
        <w:pBdr>
          <w:left w:val="none" w:sz="0" w:space="4" w:color="auto"/>
        </w:pBdr>
        <w:ind w:left="2160" w:hanging="387"/>
        <w:rPr>
          <w:rFonts w:ascii="Calibri" w:eastAsia="Calibri" w:hAnsi="Calibri" w:cs="Calibri"/>
          <w:color w:val="002060"/>
        </w:rPr>
      </w:pPr>
      <w:r>
        <w:rPr>
          <w:rFonts w:ascii="Calibri" w:eastAsia="Calibri" w:hAnsi="Calibri" w:cs="Calibri"/>
          <w:b/>
          <w:bCs/>
          <w:color w:val="002060"/>
        </w:rPr>
        <w:t>Minnesota</w:t>
      </w:r>
    </w:p>
    <w:p w14:paraId="5BE1AD14" w14:textId="77777777" w:rsidR="00672249" w:rsidRDefault="00E5629D">
      <w:pPr>
        <w:numPr>
          <w:ilvl w:val="1"/>
          <w:numId w:val="6"/>
        </w:numPr>
        <w:pBdr>
          <w:left w:val="none" w:sz="0" w:space="3" w:color="auto"/>
        </w:pBdr>
        <w:ind w:left="2880" w:hanging="358"/>
        <w:rPr>
          <w:rFonts w:ascii="Calibri" w:eastAsia="Calibri" w:hAnsi="Calibri" w:cs="Calibri"/>
          <w:color w:val="002060"/>
        </w:rPr>
      </w:pPr>
      <w:r>
        <w:rPr>
          <w:rFonts w:ascii="Calibri" w:eastAsia="Calibri" w:hAnsi="Calibri" w:cs="Calibri"/>
          <w:b/>
          <w:bCs/>
          <w:i/>
          <w:iCs/>
          <w:color w:val="002060"/>
        </w:rPr>
        <w:t>City of Lake Elmo v. 3M Company</w:t>
      </w:r>
      <w:r>
        <w:rPr>
          <w:rFonts w:ascii="Calibri" w:eastAsia="Calibri" w:hAnsi="Calibri" w:cs="Calibri"/>
          <w:b/>
          <w:bCs/>
          <w:color w:val="002060"/>
        </w:rPr>
        <w:t>, 16-02557, D. MN</w:t>
      </w:r>
      <w:r>
        <w:rPr>
          <w:rFonts w:ascii="Calibri" w:eastAsia="Calibri" w:hAnsi="Calibri" w:cs="Calibri"/>
          <w:color w:val="002060"/>
        </w:rPr>
        <w:t>.</w:t>
      </w:r>
    </w:p>
    <w:p w14:paraId="7BB9CFC6" w14:textId="77777777" w:rsidR="00672249" w:rsidRDefault="00E5629D">
      <w:pPr>
        <w:spacing w:line="259" w:lineRule="auto"/>
        <w:ind w:left="2520"/>
      </w:pPr>
      <w:r>
        <w:rPr>
          <w:rFonts w:ascii="Calibri" w:eastAsia="Calibri" w:hAnsi="Calibri" w:cs="Calibri"/>
          <w:color w:val="002060"/>
        </w:rPr>
        <w:t xml:space="preserve">Municipality suing 3M for PFAS disposal under CERCLA based on PFAS within “catch-all” definition of hazardous waste under the Solid Waste Disposal Act; also claims for trespass; negligence; conversion. </w:t>
      </w:r>
    </w:p>
    <w:p w14:paraId="2264D445" w14:textId="77777777" w:rsidR="00672249" w:rsidRDefault="00E5629D">
      <w:pPr>
        <w:numPr>
          <w:ilvl w:val="0"/>
          <w:numId w:val="7"/>
        </w:numPr>
        <w:pBdr>
          <w:left w:val="none" w:sz="0" w:space="4" w:color="auto"/>
        </w:pBdr>
        <w:spacing w:line="259" w:lineRule="auto"/>
        <w:ind w:left="2160" w:hanging="373"/>
        <w:rPr>
          <w:rFonts w:ascii="Calibri" w:eastAsia="Calibri" w:hAnsi="Calibri" w:cs="Calibri"/>
          <w:color w:val="002060"/>
        </w:rPr>
      </w:pPr>
      <w:r>
        <w:rPr>
          <w:rFonts w:ascii="Calibri" w:eastAsia="Calibri" w:hAnsi="Calibri" w:cs="Calibri"/>
          <w:b/>
          <w:bCs/>
          <w:color w:val="002060"/>
        </w:rPr>
        <w:t xml:space="preserve">Alabama </w:t>
      </w:r>
    </w:p>
    <w:p w14:paraId="11301FEE" w14:textId="77777777" w:rsidR="00672249" w:rsidRDefault="00E5629D">
      <w:pPr>
        <w:numPr>
          <w:ilvl w:val="1"/>
          <w:numId w:val="7"/>
        </w:numPr>
        <w:pBdr>
          <w:left w:val="none" w:sz="0" w:space="3" w:color="auto"/>
        </w:pBdr>
        <w:spacing w:line="259" w:lineRule="auto"/>
        <w:ind w:left="2880" w:hanging="358"/>
        <w:rPr>
          <w:rFonts w:ascii="Calibri" w:eastAsia="Calibri" w:hAnsi="Calibri" w:cs="Calibri"/>
          <w:color w:val="002060"/>
        </w:rPr>
      </w:pPr>
      <w:r>
        <w:rPr>
          <w:rFonts w:ascii="Calibri" w:eastAsia="Calibri" w:hAnsi="Calibri" w:cs="Calibri"/>
          <w:b/>
          <w:bCs/>
          <w:i/>
          <w:iCs/>
          <w:color w:val="002060"/>
        </w:rPr>
        <w:t>West Morgan-East Lawrence Water and Sewer Au</w:t>
      </w:r>
      <w:r>
        <w:rPr>
          <w:rFonts w:ascii="Calibri" w:eastAsia="Calibri" w:hAnsi="Calibri" w:cs="Calibri"/>
          <w:b/>
          <w:bCs/>
          <w:i/>
          <w:iCs/>
          <w:color w:val="002060"/>
        </w:rPr>
        <w:t>thority, et al. v. 3M Company, et al</w:t>
      </w:r>
      <w:r>
        <w:rPr>
          <w:rFonts w:ascii="Calibri" w:eastAsia="Calibri" w:hAnsi="Calibri" w:cs="Calibri"/>
          <w:b/>
          <w:bCs/>
          <w:color w:val="002060"/>
        </w:rPr>
        <w:t xml:space="preserve">., 15-cv-1750 (N.D. Ala.) </w:t>
      </w:r>
      <w:r>
        <w:rPr>
          <w:rFonts w:ascii="Calibri" w:eastAsia="Calibri" w:hAnsi="Calibri" w:cs="Calibri"/>
          <w:color w:val="002060"/>
        </w:rPr>
        <w:t>Consolidated class and individual water authority action.  Claims include negligence, public nuisance, abatement of nuisance, battery.</w:t>
      </w:r>
      <w:bookmarkStart w:id="0" w:name="_Hlk1487459"/>
      <w:r>
        <w:rPr>
          <w:rFonts w:ascii="Calibri" w:eastAsia="Calibri" w:hAnsi="Calibri" w:cs="Calibri"/>
          <w:color w:val="002060"/>
        </w:rPr>
        <w:t xml:space="preserve">  </w:t>
      </w:r>
      <w:bookmarkEnd w:id="0"/>
    </w:p>
    <w:p w14:paraId="7E459E29" w14:textId="77777777" w:rsidR="00672249" w:rsidRDefault="00E5629D">
      <w:pPr>
        <w:numPr>
          <w:ilvl w:val="1"/>
          <w:numId w:val="7"/>
        </w:numPr>
        <w:pBdr>
          <w:left w:val="none" w:sz="0" w:space="3" w:color="auto"/>
        </w:pBdr>
        <w:spacing w:line="259" w:lineRule="auto"/>
        <w:ind w:left="2880" w:hanging="358"/>
        <w:rPr>
          <w:rFonts w:ascii="Calibri" w:eastAsia="Calibri" w:hAnsi="Calibri" w:cs="Calibri"/>
          <w:color w:val="002060"/>
        </w:rPr>
      </w:pPr>
      <w:r>
        <w:rPr>
          <w:rFonts w:ascii="Calibri" w:eastAsia="Calibri" w:hAnsi="Calibri" w:cs="Calibri"/>
          <w:b/>
          <w:bCs/>
          <w:color w:val="002060"/>
        </w:rPr>
        <w:t>Decatur, Alabama</w:t>
      </w:r>
      <w:r>
        <w:rPr>
          <w:rFonts w:ascii="Calibri" w:eastAsia="Calibri" w:hAnsi="Calibri" w:cs="Calibri"/>
          <w:color w:val="002060"/>
        </w:rPr>
        <w:t xml:space="preserve">: </w:t>
      </w:r>
      <w:r>
        <w:rPr>
          <w:rFonts w:ascii="Calibri" w:eastAsia="Calibri" w:hAnsi="Calibri" w:cs="Calibri"/>
          <w:b/>
          <w:bCs/>
          <w:i/>
          <w:iCs/>
          <w:color w:val="002060"/>
        </w:rPr>
        <w:t xml:space="preserve">Tennessee Riverkeeper, Inc. v. 3M </w:t>
      </w:r>
      <w:r>
        <w:rPr>
          <w:rFonts w:ascii="Calibri" w:eastAsia="Calibri" w:hAnsi="Calibri" w:cs="Calibri"/>
          <w:b/>
          <w:bCs/>
          <w:i/>
          <w:iCs/>
          <w:color w:val="002060"/>
        </w:rPr>
        <w:t>Company, et al.</w:t>
      </w:r>
      <w:r>
        <w:rPr>
          <w:rFonts w:ascii="Calibri" w:eastAsia="Calibri" w:hAnsi="Calibri" w:cs="Calibri"/>
          <w:b/>
          <w:bCs/>
          <w:color w:val="002060"/>
        </w:rPr>
        <w:t xml:space="preserve">, 16-01029 (N.D. Ala.) </w:t>
      </w:r>
      <w:r>
        <w:rPr>
          <w:rFonts w:ascii="Calibri" w:eastAsia="Calibri" w:hAnsi="Calibri" w:cs="Calibri"/>
          <w:color w:val="002060"/>
        </w:rPr>
        <w:t xml:space="preserve">RCRA suit against 3M for PFAS disposal seeks remediation. Discovery pending; bench trial ordered. </w:t>
      </w:r>
    </w:p>
    <w:p w14:paraId="4FD18DA5" w14:textId="77777777" w:rsidR="00672249" w:rsidRDefault="00E5629D">
      <w:pPr>
        <w:numPr>
          <w:ilvl w:val="0"/>
          <w:numId w:val="8"/>
        </w:numPr>
        <w:pBdr>
          <w:left w:val="none" w:sz="0" w:space="3" w:color="auto"/>
        </w:pBdr>
        <w:spacing w:line="259" w:lineRule="auto"/>
        <w:ind w:hanging="354"/>
        <w:rPr>
          <w:rFonts w:ascii="Calibri" w:eastAsia="Calibri" w:hAnsi="Calibri" w:cs="Calibri"/>
          <w:b/>
          <w:bCs/>
          <w:color w:val="002060"/>
        </w:rPr>
      </w:pPr>
      <w:r>
        <w:rPr>
          <w:rFonts w:ascii="Calibri" w:eastAsia="Calibri" w:hAnsi="Calibri" w:cs="Calibri"/>
          <w:b/>
          <w:bCs/>
          <w:color w:val="002060"/>
          <w:u w:val="single" w:color="002060"/>
        </w:rPr>
        <w:t>AFFF MDL</w:t>
      </w:r>
    </w:p>
    <w:p w14:paraId="3533CB6F" w14:textId="77777777" w:rsidR="00672249" w:rsidRDefault="00E5629D">
      <w:pPr>
        <w:spacing w:line="259" w:lineRule="auto"/>
        <w:ind w:left="1440"/>
      </w:pPr>
      <w:r>
        <w:rPr>
          <w:rFonts w:ascii="Calibri" w:eastAsia="Calibri" w:hAnsi="Calibri" w:cs="Calibri"/>
          <w:color w:val="002060"/>
        </w:rPr>
        <w:t>In December 2018, the JPML consolidated approximately 75 lawsuits filed by individuals, municipalities, and wa</w:t>
      </w:r>
      <w:r>
        <w:rPr>
          <w:rFonts w:ascii="Calibri" w:eastAsia="Calibri" w:hAnsi="Calibri" w:cs="Calibri"/>
          <w:color w:val="002060"/>
        </w:rPr>
        <w:t xml:space="preserve">ter authorities alleging PFOA/PFOS contamination by aqueous film-forming foams (AFFFs), transferring them to Judge Gergel of the District of South Carolina.   </w:t>
      </w:r>
    </w:p>
    <w:p w14:paraId="1F1028A9" w14:textId="77777777" w:rsidR="00672249" w:rsidRDefault="00E5629D">
      <w:pPr>
        <w:spacing w:line="259" w:lineRule="auto"/>
        <w:ind w:left="1440"/>
      </w:pPr>
      <w:r>
        <w:rPr>
          <w:rFonts w:ascii="Calibri" w:eastAsia="Calibri" w:hAnsi="Calibri" w:cs="Calibri"/>
          <w:color w:val="002060"/>
        </w:rPr>
        <w:t xml:space="preserve">Two State AG cases </w:t>
      </w:r>
      <w:r>
        <w:rPr>
          <w:rFonts w:ascii="Calibri" w:eastAsia="Calibri" w:hAnsi="Calibri" w:cs="Calibri"/>
          <w:i/>
          <w:iCs/>
          <w:color w:val="002060"/>
        </w:rPr>
        <w:t>State of New York v. 3M Company et al.</w:t>
      </w:r>
      <w:r>
        <w:rPr>
          <w:rFonts w:ascii="Calibri" w:eastAsia="Calibri" w:hAnsi="Calibri" w:cs="Calibri"/>
          <w:color w:val="002060"/>
        </w:rPr>
        <w:t xml:space="preserve">, No. 1:18-cv-01317 (N.D.N.Y) and </w:t>
      </w:r>
      <w:r>
        <w:rPr>
          <w:rFonts w:ascii="Calibri" w:eastAsia="Calibri" w:hAnsi="Calibri" w:cs="Calibri"/>
          <w:i/>
          <w:iCs/>
          <w:color w:val="002060"/>
        </w:rPr>
        <w:t>State</w:t>
      </w:r>
      <w:r>
        <w:rPr>
          <w:rFonts w:ascii="Calibri" w:eastAsia="Calibri" w:hAnsi="Calibri" w:cs="Calibri"/>
          <w:i/>
          <w:iCs/>
          <w:color w:val="002060"/>
        </w:rPr>
        <w:t xml:space="preserve"> of Ohio v. 3M Co., et al.</w:t>
      </w:r>
      <w:r>
        <w:rPr>
          <w:rFonts w:ascii="Calibri" w:eastAsia="Calibri" w:hAnsi="Calibri" w:cs="Calibri"/>
          <w:color w:val="002060"/>
        </w:rPr>
        <w:t xml:space="preserve">, No. 3:19-cv-00120 (N.D. OH)) also transferred, have opposed transfer.  Oral argument is set for March 28, 2019.  </w:t>
      </w:r>
    </w:p>
    <w:p w14:paraId="49F48BDF" w14:textId="77777777" w:rsidR="00672249" w:rsidRDefault="00672249">
      <w:pPr>
        <w:ind w:left="720"/>
      </w:pPr>
    </w:p>
    <w:p w14:paraId="45A6D7DB" w14:textId="77777777" w:rsidR="00672249" w:rsidRDefault="00E5629D">
      <w:pPr>
        <w:numPr>
          <w:ilvl w:val="0"/>
          <w:numId w:val="9"/>
        </w:numPr>
        <w:pBdr>
          <w:left w:val="none" w:sz="0" w:space="3" w:color="auto"/>
        </w:pBdr>
        <w:ind w:hanging="358"/>
        <w:rPr>
          <w:rFonts w:ascii="Calibri" w:eastAsia="Calibri" w:hAnsi="Calibri" w:cs="Calibri"/>
          <w:color w:val="002060"/>
        </w:rPr>
      </w:pPr>
      <w:r>
        <w:rPr>
          <w:rFonts w:ascii="Calibri" w:eastAsia="Calibri" w:hAnsi="Calibri" w:cs="Calibri"/>
          <w:b/>
          <w:bCs/>
          <w:color w:val="002060"/>
        </w:rPr>
        <w:lastRenderedPageBreak/>
        <w:t>Settlements</w:t>
      </w:r>
    </w:p>
    <w:p w14:paraId="2CB3D157" w14:textId="77777777" w:rsidR="00672249" w:rsidRDefault="00E5629D">
      <w:pPr>
        <w:numPr>
          <w:ilvl w:val="1"/>
          <w:numId w:val="9"/>
        </w:numPr>
        <w:pBdr>
          <w:left w:val="none" w:sz="0" w:space="4" w:color="auto"/>
        </w:pBdr>
        <w:ind w:left="2160" w:hanging="413"/>
        <w:rPr>
          <w:rFonts w:ascii="Calibri" w:eastAsia="Calibri" w:hAnsi="Calibri" w:cs="Calibri"/>
          <w:color w:val="002060"/>
        </w:rPr>
      </w:pPr>
      <w:r>
        <w:rPr>
          <w:rFonts w:ascii="Calibri" w:eastAsia="Calibri" w:hAnsi="Calibri" w:cs="Calibri"/>
          <w:color w:val="002060"/>
        </w:rPr>
        <w:t>In 2004, as part of a class action settlement in West Virginia/Ohio Valley cases, DuPont agreed to de</w:t>
      </w:r>
      <w:r>
        <w:rPr>
          <w:rFonts w:ascii="Calibri" w:eastAsia="Calibri" w:hAnsi="Calibri" w:cs="Calibri"/>
          <w:color w:val="002060"/>
        </w:rPr>
        <w:t xml:space="preserve">velop, fund and implement the C-8 Panel/C-8 Study.  Per the terms of the settlement, if the C-8 Panel found probable links between certain conditions and PFOA, class members with those conditions could file individual lawsuits against DuPont.  </w:t>
      </w:r>
    </w:p>
    <w:p w14:paraId="0972B5D9" w14:textId="77777777" w:rsidR="00672249" w:rsidRDefault="00E5629D">
      <w:pPr>
        <w:numPr>
          <w:ilvl w:val="1"/>
          <w:numId w:val="9"/>
        </w:numPr>
        <w:pBdr>
          <w:left w:val="none" w:sz="0" w:space="4" w:color="auto"/>
        </w:pBdr>
        <w:ind w:left="2160" w:hanging="400"/>
        <w:rPr>
          <w:rFonts w:ascii="Calibri" w:eastAsia="Calibri" w:hAnsi="Calibri" w:cs="Calibri"/>
          <w:color w:val="002060"/>
        </w:rPr>
      </w:pPr>
      <w:r>
        <w:rPr>
          <w:rFonts w:ascii="Calibri" w:eastAsia="Calibri" w:hAnsi="Calibri" w:cs="Calibri"/>
          <w:color w:val="002060"/>
        </w:rPr>
        <w:t>The C-8 Pan</w:t>
      </w:r>
      <w:r>
        <w:rPr>
          <w:rFonts w:ascii="Calibri" w:eastAsia="Calibri" w:hAnsi="Calibri" w:cs="Calibri"/>
          <w:color w:val="002060"/>
        </w:rPr>
        <w:t>el’s findings resulted in the filing of approximately 3,500 individual personal injury lawsuits against DuPont and its spinoff, Chemours which settled for $671M in In February 2017.</w:t>
      </w:r>
    </w:p>
    <w:p w14:paraId="10B70500" w14:textId="77777777" w:rsidR="00672249" w:rsidRDefault="00E5629D">
      <w:pPr>
        <w:numPr>
          <w:ilvl w:val="1"/>
          <w:numId w:val="9"/>
        </w:numPr>
        <w:pBdr>
          <w:left w:val="none" w:sz="0" w:space="4" w:color="auto"/>
        </w:pBdr>
        <w:ind w:left="2160" w:hanging="400"/>
        <w:rPr>
          <w:rFonts w:ascii="Calibri" w:eastAsia="Calibri" w:hAnsi="Calibri" w:cs="Calibri"/>
          <w:color w:val="002060"/>
        </w:rPr>
      </w:pPr>
      <w:r>
        <w:rPr>
          <w:rFonts w:ascii="Calibri" w:eastAsia="Calibri" w:hAnsi="Calibri" w:cs="Calibri"/>
          <w:color w:val="002060"/>
        </w:rPr>
        <w:t>In February 2018, 3M settled a groundwater pollution lawsuit with the Stat</w:t>
      </w:r>
      <w:r>
        <w:rPr>
          <w:rFonts w:ascii="Calibri" w:eastAsia="Calibri" w:hAnsi="Calibri" w:cs="Calibri"/>
          <w:color w:val="002060"/>
        </w:rPr>
        <w:t>e of Minnesota for $850 million.</w:t>
      </w:r>
    </w:p>
    <w:p w14:paraId="58478932" w14:textId="77777777" w:rsidR="00672249" w:rsidRDefault="00672249">
      <w:pPr>
        <w:spacing w:after="160" w:line="259" w:lineRule="auto"/>
        <w:rPr>
          <w:sz w:val="28"/>
          <w:szCs w:val="28"/>
        </w:rPr>
      </w:pPr>
    </w:p>
    <w:p w14:paraId="4B6725D8" w14:textId="77777777" w:rsidR="00672249" w:rsidRDefault="00E5629D">
      <w:pPr>
        <w:spacing w:after="160" w:line="259" w:lineRule="auto"/>
        <w:rPr>
          <w:sz w:val="28"/>
          <w:szCs w:val="28"/>
        </w:rPr>
      </w:pPr>
      <w:r>
        <w:rPr>
          <w:rFonts w:ascii="Cambria" w:eastAsia="Cambria" w:hAnsi="Cambria" w:cs="Cambria"/>
          <w:b/>
          <w:bCs/>
          <w:color w:val="002060"/>
          <w:sz w:val="28"/>
          <w:szCs w:val="28"/>
        </w:rPr>
        <w:t>RULINGS OF NOTE</w:t>
      </w:r>
      <w:r>
        <w:rPr>
          <w:b/>
          <w:bCs/>
          <w:i/>
          <w:iCs/>
        </w:rPr>
        <w:t xml:space="preserve"> </w:t>
      </w:r>
    </w:p>
    <w:p w14:paraId="4F23B1C6" w14:textId="77777777" w:rsidR="00672249" w:rsidRDefault="00E5629D">
      <w:pPr>
        <w:numPr>
          <w:ilvl w:val="0"/>
          <w:numId w:val="10"/>
        </w:numPr>
        <w:pBdr>
          <w:left w:val="none" w:sz="0" w:space="3" w:color="auto"/>
        </w:pBdr>
        <w:spacing w:line="259" w:lineRule="auto"/>
        <w:ind w:left="1080" w:hanging="354"/>
        <w:rPr>
          <w:rFonts w:ascii="Calibri" w:eastAsia="Calibri" w:hAnsi="Calibri" w:cs="Calibri"/>
          <w:b/>
          <w:bCs/>
          <w:color w:val="002060"/>
        </w:rPr>
      </w:pPr>
      <w:r>
        <w:rPr>
          <w:rFonts w:ascii="Calibri" w:eastAsia="Calibri" w:hAnsi="Calibri" w:cs="Calibri"/>
          <w:b/>
          <w:bCs/>
          <w:color w:val="002060"/>
        </w:rPr>
        <w:t>Medical Monitoring:</w:t>
      </w:r>
    </w:p>
    <w:p w14:paraId="2767DEC2" w14:textId="77777777" w:rsidR="00672249" w:rsidRDefault="00E5629D">
      <w:pPr>
        <w:numPr>
          <w:ilvl w:val="1"/>
          <w:numId w:val="10"/>
        </w:numPr>
        <w:pBdr>
          <w:left w:val="none" w:sz="0" w:space="3" w:color="auto"/>
        </w:pBdr>
        <w:spacing w:line="259" w:lineRule="auto"/>
        <w:ind w:left="1800" w:hanging="357"/>
        <w:rPr>
          <w:rFonts w:ascii="Calibri" w:eastAsia="Calibri" w:hAnsi="Calibri" w:cs="Calibri"/>
          <w:b/>
          <w:bCs/>
          <w:color w:val="002060"/>
        </w:rPr>
      </w:pPr>
      <w:r>
        <w:rPr>
          <w:rFonts w:ascii="Calibri" w:eastAsia="Calibri" w:hAnsi="Calibri" w:cs="Calibri"/>
          <w:b/>
          <w:bCs/>
          <w:color w:val="002060"/>
        </w:rPr>
        <w:t xml:space="preserve">Hoosick Fall, NY: decision in favor of plaintiffs; Defendants appealed to 2d Cir in </w:t>
      </w:r>
      <w:r>
        <w:rPr>
          <w:rFonts w:ascii="Calibri" w:eastAsia="Calibri" w:hAnsi="Calibri" w:cs="Calibri"/>
          <w:b/>
          <w:bCs/>
          <w:i/>
          <w:iCs/>
          <w:color w:val="002060"/>
        </w:rPr>
        <w:t>Baker, et al. v. Saint-Gobain Performance Plastics</w:t>
      </w:r>
      <w:r>
        <w:rPr>
          <w:rFonts w:ascii="Calibri" w:eastAsia="Calibri" w:hAnsi="Calibri" w:cs="Calibri"/>
          <w:b/>
          <w:bCs/>
          <w:color w:val="002060"/>
        </w:rPr>
        <w:t>, Case No. 17-3942, 2d Cir.</w:t>
      </w:r>
      <w:r>
        <w:rPr>
          <w:rFonts w:ascii="Calibri" w:eastAsia="Calibri" w:hAnsi="Calibri" w:cs="Calibri"/>
          <w:b/>
          <w:bCs/>
          <w:color w:val="002060"/>
        </w:rPr>
        <w:t xml:space="preserve"> Fully briefed and awaiting oral argument in April 2019;</w:t>
      </w:r>
    </w:p>
    <w:p w14:paraId="56D98C8C" w14:textId="77777777" w:rsidR="00672249" w:rsidRDefault="00E5629D">
      <w:pPr>
        <w:numPr>
          <w:ilvl w:val="1"/>
          <w:numId w:val="10"/>
        </w:numPr>
        <w:pBdr>
          <w:left w:val="none" w:sz="0" w:space="3" w:color="auto"/>
        </w:pBdr>
        <w:spacing w:line="259" w:lineRule="auto"/>
        <w:ind w:left="1800" w:hanging="361"/>
        <w:rPr>
          <w:rFonts w:ascii="Calibri" w:eastAsia="Calibri" w:hAnsi="Calibri" w:cs="Calibri"/>
          <w:b/>
          <w:bCs/>
          <w:color w:val="002060"/>
        </w:rPr>
      </w:pPr>
      <w:r>
        <w:rPr>
          <w:rFonts w:ascii="Calibri" w:eastAsia="Calibri" w:hAnsi="Calibri" w:cs="Calibri"/>
          <w:b/>
          <w:bCs/>
          <w:color w:val="002060"/>
        </w:rPr>
        <w:t>New Hampshire:</w:t>
      </w:r>
    </w:p>
    <w:p w14:paraId="72F1A90E" w14:textId="77777777" w:rsidR="00672249" w:rsidRDefault="00E5629D">
      <w:pPr>
        <w:numPr>
          <w:ilvl w:val="0"/>
          <w:numId w:val="10"/>
        </w:numPr>
        <w:pBdr>
          <w:left w:val="none" w:sz="0" w:space="3" w:color="auto"/>
        </w:pBdr>
        <w:spacing w:line="259" w:lineRule="auto"/>
        <w:ind w:left="1080" w:hanging="354"/>
        <w:rPr>
          <w:rFonts w:ascii="Calibri" w:eastAsia="Calibri" w:hAnsi="Calibri" w:cs="Calibri"/>
          <w:b/>
          <w:bCs/>
          <w:color w:val="002060"/>
        </w:rPr>
      </w:pPr>
      <w:r>
        <w:rPr>
          <w:rFonts w:ascii="Calibri" w:eastAsia="Calibri" w:hAnsi="Calibri" w:cs="Calibri"/>
          <w:b/>
          <w:bCs/>
          <w:color w:val="002060"/>
        </w:rPr>
        <w:t>Class Certification:</w:t>
      </w:r>
    </w:p>
    <w:p w14:paraId="3BEF61E4" w14:textId="77777777" w:rsidR="00672249" w:rsidRDefault="00E5629D">
      <w:pPr>
        <w:numPr>
          <w:ilvl w:val="1"/>
          <w:numId w:val="11"/>
        </w:numPr>
        <w:pBdr>
          <w:left w:val="none" w:sz="0" w:space="3" w:color="auto"/>
        </w:pBdr>
        <w:spacing w:after="160" w:line="259" w:lineRule="auto"/>
        <w:ind w:left="1800" w:hanging="357"/>
        <w:rPr>
          <w:rFonts w:ascii="Calibri" w:eastAsia="Calibri" w:hAnsi="Calibri" w:cs="Calibri"/>
          <w:b/>
          <w:bCs/>
          <w:color w:val="002060"/>
        </w:rPr>
      </w:pPr>
      <w:r>
        <w:rPr>
          <w:rFonts w:ascii="Calibri" w:eastAsia="Calibri" w:hAnsi="Calibri" w:cs="Calibri"/>
          <w:b/>
          <w:bCs/>
          <w:color w:val="002060"/>
        </w:rPr>
        <w:t>Petersburgh</w:t>
      </w:r>
    </w:p>
    <w:p w14:paraId="698B3F91" w14:textId="77777777" w:rsidR="00672249" w:rsidRDefault="00E5629D">
      <w:pPr>
        <w:spacing w:after="160" w:line="259" w:lineRule="auto"/>
        <w:rPr>
          <w:sz w:val="28"/>
          <w:szCs w:val="28"/>
        </w:rPr>
      </w:pPr>
      <w:r>
        <w:rPr>
          <w:rFonts w:ascii="Calibri" w:eastAsia="Calibri" w:hAnsi="Calibri" w:cs="Calibri"/>
          <w:b/>
          <w:bCs/>
          <w:color w:val="002060"/>
          <w:sz w:val="28"/>
          <w:szCs w:val="28"/>
        </w:rPr>
        <w:t>GENERAL PFAS INFORMATION AND STATUS OF REGULATORY INVOLVEMENT</w:t>
      </w:r>
    </w:p>
    <w:p w14:paraId="1E12926B" w14:textId="77777777" w:rsidR="00672249" w:rsidRDefault="00E5629D">
      <w:pPr>
        <w:spacing w:after="160" w:line="259" w:lineRule="auto"/>
      </w:pPr>
      <w:r>
        <w:rPr>
          <w:rFonts w:ascii="Calibri" w:eastAsia="Calibri" w:hAnsi="Calibri" w:cs="Calibri"/>
          <w:b/>
          <w:bCs/>
          <w:color w:val="002060"/>
        </w:rPr>
        <w:t>PFAS Generally</w:t>
      </w:r>
    </w:p>
    <w:p w14:paraId="4987C632" w14:textId="77777777" w:rsidR="00672249" w:rsidRDefault="00E5629D">
      <w:pPr>
        <w:spacing w:after="160" w:line="259" w:lineRule="auto"/>
      </w:pPr>
      <w:r>
        <w:rPr>
          <w:rFonts w:ascii="Calibri" w:eastAsia="Calibri" w:hAnsi="Calibri" w:cs="Calibri"/>
          <w:color w:val="002060"/>
        </w:rPr>
        <w:t>PFOA and PFOS are part of a class of man-made chemicals that are not natur</w:t>
      </w:r>
      <w:r>
        <w:rPr>
          <w:rFonts w:ascii="Calibri" w:eastAsia="Calibri" w:hAnsi="Calibri" w:cs="Calibri"/>
          <w:color w:val="002060"/>
        </w:rPr>
        <w:t xml:space="preserve">ally </w:t>
      </w:r>
      <w:proofErr w:type="spellStart"/>
      <w:r>
        <w:rPr>
          <w:rFonts w:ascii="Calibri" w:eastAsia="Calibri" w:hAnsi="Calibri" w:cs="Calibri"/>
          <w:color w:val="002060"/>
        </w:rPr>
        <w:t>occuring</w:t>
      </w:r>
      <w:proofErr w:type="spellEnd"/>
      <w:r>
        <w:rPr>
          <w:rFonts w:ascii="Calibri" w:eastAsia="Calibri" w:hAnsi="Calibri" w:cs="Calibri"/>
          <w:color w:val="002060"/>
        </w:rPr>
        <w:t xml:space="preserve"> in the environment. As a result of decades of lobbying by industries that manufactured PFAS containing products they have been unregulated, leading to decades of unregulated use and disposal of these highly hazardous substances. </w:t>
      </w:r>
      <w:r>
        <w:t xml:space="preserve"> </w:t>
      </w:r>
    </w:p>
    <w:p w14:paraId="78CB5642" w14:textId="77777777" w:rsidR="00672249" w:rsidRDefault="00E5629D">
      <w:pPr>
        <w:spacing w:after="160" w:line="259" w:lineRule="auto"/>
      </w:pPr>
      <w:r>
        <w:rPr>
          <w:rFonts w:ascii="Calibri" w:eastAsia="Calibri" w:hAnsi="Calibri" w:cs="Calibri"/>
          <w:color w:val="002060"/>
        </w:rPr>
        <w:t>Due to thei</w:t>
      </w:r>
      <w:r>
        <w:rPr>
          <w:rFonts w:ascii="Calibri" w:eastAsia="Calibri" w:hAnsi="Calibri" w:cs="Calibri"/>
          <w:color w:val="002060"/>
        </w:rPr>
        <w:t>r chemical structure, PFOA and PFOS are biologically and chemically stable in the environment and resistant to environmental degradation and thus remain present in the environment long after they are initially discharged causing serious environmental damag</w:t>
      </w:r>
      <w:r>
        <w:rPr>
          <w:rFonts w:ascii="Calibri" w:eastAsia="Calibri" w:hAnsi="Calibri" w:cs="Calibri"/>
          <w:color w:val="002060"/>
        </w:rPr>
        <w:t xml:space="preserve">e and risks to human health. </w:t>
      </w:r>
    </w:p>
    <w:p w14:paraId="2BB929F9" w14:textId="77777777" w:rsidR="00672249" w:rsidRDefault="00E5629D">
      <w:pPr>
        <w:spacing w:after="160" w:line="259" w:lineRule="auto"/>
      </w:pPr>
      <w:r>
        <w:rPr>
          <w:rFonts w:ascii="Calibri" w:eastAsia="Calibri" w:hAnsi="Calibri" w:cs="Calibri"/>
          <w:color w:val="002060"/>
        </w:rPr>
        <w:t>PFAS chemicals bio-accumulate in living organisms, primarily in the blood serum, kidney and liver and remain in the human body.</w:t>
      </w:r>
      <w:bookmarkStart w:id="1" w:name="_Hlk500422227"/>
      <w:r>
        <w:rPr>
          <w:rFonts w:ascii="Calibri" w:eastAsia="Calibri" w:hAnsi="Calibri" w:cs="Calibri"/>
          <w:color w:val="002060"/>
        </w:rPr>
        <w:t xml:space="preserve"> PFAS exposure is associated with increased risk in humans of testicular cancer, kidney cancer, pro</w:t>
      </w:r>
      <w:r>
        <w:rPr>
          <w:rFonts w:ascii="Calibri" w:eastAsia="Calibri" w:hAnsi="Calibri" w:cs="Calibri"/>
          <w:color w:val="002060"/>
        </w:rPr>
        <w:t>state cancer, pancreatic cancer, ovarian cancer, non-Hodgkin’s lymphoma, thyroid disease, high cholesterol, high uric acid levels, elevated liver enzymes, ulcerative colitis and pregnancy-induced hypertension, among other health issues.</w:t>
      </w:r>
      <w:bookmarkEnd w:id="1"/>
    </w:p>
    <w:p w14:paraId="798C0301" w14:textId="77777777" w:rsidR="00672249" w:rsidRDefault="00672249"/>
    <w:p w14:paraId="0B5C3D7F" w14:textId="77777777" w:rsidR="00672249" w:rsidRDefault="00672249"/>
    <w:p w14:paraId="6CAFD5A0" w14:textId="77777777" w:rsidR="00672249" w:rsidRDefault="00E5629D">
      <w:r>
        <w:rPr>
          <w:rFonts w:ascii="Calibri" w:eastAsia="Calibri" w:hAnsi="Calibri" w:cs="Calibri"/>
          <w:b/>
          <w:bCs/>
          <w:color w:val="002060"/>
        </w:rPr>
        <w:lastRenderedPageBreak/>
        <w:t>Regulatory Activi</w:t>
      </w:r>
      <w:r>
        <w:rPr>
          <w:rFonts w:ascii="Calibri" w:eastAsia="Calibri" w:hAnsi="Calibri" w:cs="Calibri"/>
          <w:b/>
          <w:bCs/>
          <w:color w:val="002060"/>
        </w:rPr>
        <w:t xml:space="preserve">ty </w:t>
      </w:r>
    </w:p>
    <w:p w14:paraId="30A34693" w14:textId="77777777" w:rsidR="00672249" w:rsidRDefault="00E5629D">
      <w:r>
        <w:rPr>
          <w:rFonts w:ascii="Calibri" w:eastAsia="Calibri" w:hAnsi="Calibri" w:cs="Calibri"/>
          <w:color w:val="002060"/>
        </w:rPr>
        <w:t>The EPA recently announced its intent to regulate these chemicals by (1) proposing a federal MCL for PFOA and PFOS by the end of 2019 (2) develop nationwide drinking water monitoring for PFAS (3) develop interim cleanup recommendations to address PFOA/</w:t>
      </w:r>
      <w:r>
        <w:rPr>
          <w:rFonts w:ascii="Calibri" w:eastAsia="Calibri" w:hAnsi="Calibri" w:cs="Calibri"/>
          <w:color w:val="002060"/>
        </w:rPr>
        <w:t>PFOS-contaminated groundwater.  Currently there are only advisory levels and they vary from state to state.</w:t>
      </w:r>
    </w:p>
    <w:p w14:paraId="02D73B2A" w14:textId="77777777" w:rsidR="00672249" w:rsidRDefault="00672249"/>
    <w:p w14:paraId="160571DC" w14:textId="77777777" w:rsidR="00672249" w:rsidRDefault="00E5629D">
      <w:r>
        <w:rPr>
          <w:rFonts w:ascii="Calibri" w:eastAsia="Calibri" w:hAnsi="Calibri" w:cs="Calibri"/>
          <w:b/>
          <w:bCs/>
          <w:color w:val="002060"/>
          <w:u w:val="single" w:color="002060"/>
        </w:rPr>
        <w:t>ATSDR Tox Profile</w:t>
      </w:r>
    </w:p>
    <w:p w14:paraId="69EDAFDB" w14:textId="77777777" w:rsidR="00672249" w:rsidRDefault="00E5629D">
      <w:r>
        <w:rPr>
          <w:rFonts w:ascii="Calibri" w:eastAsia="Calibri" w:hAnsi="Calibri" w:cs="Calibri"/>
          <w:color w:val="002060"/>
        </w:rPr>
        <w:t xml:space="preserve">In June 2018, the ATSDR issued a draft Toxicological Profile for Perfluoroalkyls which recommended reducing the draft Minimal Risk Level (MRL) for PFOA and PFOS. </w:t>
      </w:r>
    </w:p>
    <w:p w14:paraId="5E805879" w14:textId="77777777" w:rsidR="00672249" w:rsidRDefault="00E5629D">
      <w:r>
        <w:rPr>
          <w:rFonts w:ascii="Calibri" w:eastAsia="Calibri" w:hAnsi="Calibri" w:cs="Calibri"/>
          <w:color w:val="002060"/>
        </w:rPr>
        <w:t>Notably, the ATSDR Tox Profile indicates potential health impacts at lower concentrations tha</w:t>
      </w:r>
      <w:r>
        <w:rPr>
          <w:rFonts w:ascii="Calibri" w:eastAsia="Calibri" w:hAnsi="Calibri" w:cs="Calibri"/>
          <w:color w:val="002060"/>
        </w:rPr>
        <w:t xml:space="preserve">n the existing EPA 70 ppt Health Advisory.  </w:t>
      </w:r>
    </w:p>
    <w:p w14:paraId="7CCEF3B8" w14:textId="77777777" w:rsidR="00672249" w:rsidRDefault="00672249"/>
    <w:p w14:paraId="2A68CAEA" w14:textId="77777777" w:rsidR="00672249" w:rsidRDefault="00E5629D">
      <w:r>
        <w:rPr>
          <w:rFonts w:ascii="Calibri" w:eastAsia="Calibri" w:hAnsi="Calibri" w:cs="Calibri"/>
          <w:b/>
          <w:bCs/>
          <w:color w:val="002060"/>
          <w:u w:val="single" w:color="002060"/>
        </w:rPr>
        <w:t>ATSDR Biomonitoring Study</w:t>
      </w:r>
    </w:p>
    <w:p w14:paraId="113D2A3C" w14:textId="77777777" w:rsidR="00672249" w:rsidRDefault="00E5629D">
      <w:r>
        <w:rPr>
          <w:rFonts w:ascii="Calibri" w:eastAsia="Calibri" w:hAnsi="Calibri" w:cs="Calibri"/>
          <w:color w:val="002060"/>
        </w:rPr>
        <w:t xml:space="preserve">The ATSDR is designing and developing a multi-site PFAS health study to study </w:t>
      </w:r>
      <w:r>
        <w:rPr>
          <w:rFonts w:ascii="Calibri" w:eastAsia="Calibri" w:hAnsi="Calibri" w:cs="Calibri"/>
          <w:color w:val="002060"/>
        </w:rPr>
        <w:t>the relationship between PFAS and human health outcomes in multiple communities with PFAS contaminated drinking water. The multi-site PFAS health study’s design will be informed by agency and state health partners currently investigating exposure to and po</w:t>
      </w:r>
      <w:r>
        <w:rPr>
          <w:rFonts w:ascii="Calibri" w:eastAsia="Calibri" w:hAnsi="Calibri" w:cs="Calibri"/>
          <w:color w:val="002060"/>
        </w:rPr>
        <w:t>ssible health effects associated with PFAS in more than 30 communities across the US, including Alabama, Alaska, California, Colorado, Massachusetts, Michigan, New Hampshire, New York, Pennsylvania, and Washington.</w:t>
      </w:r>
    </w:p>
    <w:p w14:paraId="7289EE40" w14:textId="77777777" w:rsidR="00672249" w:rsidRDefault="00672249">
      <w:pPr>
        <w:ind w:left="1080"/>
      </w:pPr>
    </w:p>
    <w:p w14:paraId="3085FEC5" w14:textId="77777777" w:rsidR="00672249" w:rsidRDefault="00E5629D">
      <w:r>
        <w:rPr>
          <w:rFonts w:ascii="Calibri" w:eastAsia="Calibri" w:hAnsi="Calibri" w:cs="Calibri"/>
          <w:b/>
          <w:bCs/>
          <w:color w:val="002060"/>
          <w:u w:val="single" w:color="002060"/>
        </w:rPr>
        <w:t>State PFAS Drinking Water Guidelines and</w:t>
      </w:r>
      <w:r>
        <w:rPr>
          <w:rFonts w:ascii="Calibri" w:eastAsia="Calibri" w:hAnsi="Calibri" w:cs="Calibri"/>
          <w:b/>
          <w:bCs/>
          <w:color w:val="002060"/>
          <w:u w:val="single" w:color="002060"/>
        </w:rPr>
        <w:t xml:space="preserve"> Regulations</w:t>
      </w:r>
    </w:p>
    <w:p w14:paraId="1F8B863D" w14:textId="77777777" w:rsidR="00672249" w:rsidRDefault="00E5629D">
      <w:r>
        <w:rPr>
          <w:rFonts w:ascii="Calibri" w:eastAsia="Calibri" w:hAnsi="Calibri" w:cs="Calibri"/>
          <w:color w:val="002060"/>
        </w:rPr>
        <w:t>The following states have enacted regulations or non-enforceable regulatory guidelines that differ from the 70ppt EPA Health Advisory.</w:t>
      </w:r>
    </w:p>
    <w:p w14:paraId="46A98E41" w14:textId="77777777" w:rsidR="00672249" w:rsidRDefault="00672249"/>
    <w:tbl>
      <w:tblPr>
        <w:tblW w:w="10702" w:type="dxa"/>
        <w:tblInd w:w="12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07"/>
        <w:gridCol w:w="3675"/>
        <w:gridCol w:w="4770"/>
        <w:gridCol w:w="1350"/>
      </w:tblGrid>
      <w:tr w:rsidR="00672249" w14:paraId="042A6F4D" w14:textId="77777777">
        <w:trPr>
          <w:trHeight w:val="198"/>
        </w:trPr>
        <w:tc>
          <w:tcPr>
            <w:tcW w:w="907" w:type="dxa"/>
            <w:tcBorders>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71C32103" w14:textId="77777777" w:rsidR="00672249" w:rsidRDefault="00E5629D">
            <w:pPr>
              <w:rPr>
                <w:color w:val="000000"/>
                <w:sz w:val="22"/>
                <w:szCs w:val="22"/>
              </w:rPr>
            </w:pPr>
            <w:r>
              <w:rPr>
                <w:b/>
                <w:bCs/>
                <w:color w:val="000000"/>
                <w:sz w:val="22"/>
                <w:szCs w:val="22"/>
              </w:rPr>
              <w:t>State</w:t>
            </w:r>
          </w:p>
        </w:tc>
        <w:tc>
          <w:tcPr>
            <w:tcW w:w="3675" w:type="dxa"/>
            <w:tcBorders>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65D66247" w14:textId="77777777" w:rsidR="00672249" w:rsidRDefault="00E5629D">
            <w:pPr>
              <w:rPr>
                <w:color w:val="000000"/>
                <w:sz w:val="22"/>
                <w:szCs w:val="22"/>
              </w:rPr>
            </w:pPr>
            <w:r>
              <w:rPr>
                <w:b/>
                <w:bCs/>
                <w:color w:val="000000"/>
                <w:sz w:val="22"/>
                <w:szCs w:val="22"/>
              </w:rPr>
              <w:t>Drinking Water Action</w:t>
            </w:r>
          </w:p>
        </w:tc>
        <w:tc>
          <w:tcPr>
            <w:tcW w:w="4770" w:type="dxa"/>
            <w:tcBorders>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6C853719" w14:textId="77777777" w:rsidR="00672249" w:rsidRDefault="00E5629D">
            <w:pPr>
              <w:rPr>
                <w:color w:val="000000"/>
                <w:sz w:val="22"/>
                <w:szCs w:val="22"/>
              </w:rPr>
            </w:pPr>
            <w:r>
              <w:rPr>
                <w:b/>
                <w:bCs/>
                <w:color w:val="000000"/>
                <w:sz w:val="22"/>
                <w:szCs w:val="22"/>
              </w:rPr>
              <w:t>Compound</w:t>
            </w:r>
          </w:p>
        </w:tc>
        <w:tc>
          <w:tcPr>
            <w:tcW w:w="1350" w:type="dxa"/>
            <w:tcBorders>
              <w:left w:val="single" w:sz="6" w:space="0" w:color="DDDDDD"/>
              <w:bottom w:val="single" w:sz="6" w:space="0" w:color="DDDDDD"/>
            </w:tcBorders>
            <w:shd w:val="clear" w:color="auto" w:fill="8EB4D4"/>
            <w:tcMar>
              <w:top w:w="120" w:type="dxa"/>
              <w:left w:w="120" w:type="dxa"/>
              <w:bottom w:w="120" w:type="dxa"/>
              <w:right w:w="120" w:type="dxa"/>
            </w:tcMar>
            <w:vAlign w:val="center"/>
            <w:hideMark/>
          </w:tcPr>
          <w:p w14:paraId="4D9FBD35" w14:textId="77777777" w:rsidR="00672249" w:rsidRDefault="00E5629D">
            <w:pPr>
              <w:rPr>
                <w:color w:val="000000"/>
                <w:sz w:val="22"/>
                <w:szCs w:val="22"/>
              </w:rPr>
            </w:pPr>
            <w:r>
              <w:rPr>
                <w:b/>
                <w:bCs/>
                <w:color w:val="000000"/>
                <w:sz w:val="22"/>
                <w:szCs w:val="22"/>
              </w:rPr>
              <w:t>Level (ppt)</w:t>
            </w:r>
          </w:p>
        </w:tc>
      </w:tr>
      <w:tr w:rsidR="00672249" w14:paraId="06AB3811" w14:textId="77777777">
        <w:tc>
          <w:tcPr>
            <w:tcW w:w="907" w:type="dxa"/>
            <w:tcBorders>
              <w:top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6AFC96AA" w14:textId="77777777" w:rsidR="00672249" w:rsidRDefault="00E5629D">
            <w:pPr>
              <w:rPr>
                <w:color w:val="000000"/>
                <w:sz w:val="22"/>
                <w:szCs w:val="22"/>
              </w:rPr>
            </w:pPr>
            <w:r>
              <w:rPr>
                <w:b/>
                <w:bCs/>
                <w:color w:val="000000"/>
                <w:sz w:val="22"/>
                <w:szCs w:val="22"/>
              </w:rPr>
              <w:t>CA</w:t>
            </w:r>
          </w:p>
        </w:tc>
        <w:tc>
          <w:tcPr>
            <w:tcW w:w="3675"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772CF2B6" w14:textId="77777777" w:rsidR="00672249" w:rsidRDefault="00E5629D">
            <w:pPr>
              <w:rPr>
                <w:color w:val="000000"/>
                <w:sz w:val="22"/>
                <w:szCs w:val="22"/>
              </w:rPr>
            </w:pPr>
            <w:r>
              <w:rPr>
                <w:color w:val="000000"/>
                <w:sz w:val="22"/>
                <w:szCs w:val="22"/>
              </w:rPr>
              <w:t>Interim Response Levels</w:t>
            </w:r>
            <w:r>
              <w:rPr>
                <w:rFonts w:ascii="Calibri" w:eastAsia="Calibri" w:hAnsi="Calibri" w:cs="Calibri"/>
                <w:color w:val="000000"/>
                <w:vertAlign w:val="superscript"/>
              </w:rPr>
              <w:footnoteReference w:id="1"/>
            </w:r>
          </w:p>
          <w:p w14:paraId="1268332B" w14:textId="77777777" w:rsidR="00672249" w:rsidRDefault="00672249">
            <w:pPr>
              <w:rPr>
                <w:color w:val="000000"/>
                <w:sz w:val="22"/>
                <w:szCs w:val="22"/>
              </w:rPr>
            </w:pPr>
          </w:p>
          <w:p w14:paraId="427FC69F" w14:textId="77777777" w:rsidR="00672249" w:rsidRDefault="00E5629D">
            <w:pPr>
              <w:rPr>
                <w:color w:val="000000"/>
                <w:sz w:val="22"/>
                <w:szCs w:val="22"/>
              </w:rPr>
            </w:pPr>
            <w:r>
              <w:rPr>
                <w:color w:val="000000"/>
                <w:sz w:val="22"/>
                <w:szCs w:val="22"/>
              </w:rPr>
              <w:t xml:space="preserve">Interim </w:t>
            </w:r>
            <w:r>
              <w:rPr>
                <w:color w:val="000000"/>
                <w:sz w:val="22"/>
                <w:szCs w:val="22"/>
              </w:rPr>
              <w:t>Notification Levels</w:t>
            </w:r>
            <w:r>
              <w:rPr>
                <w:rFonts w:ascii="Calibri" w:eastAsia="Calibri" w:hAnsi="Calibri" w:cs="Calibri"/>
                <w:color w:val="000000"/>
                <w:vertAlign w:val="superscript"/>
              </w:rPr>
              <w:footnoteReference w:id="2"/>
            </w:r>
          </w:p>
          <w:p w14:paraId="3AF39EF9" w14:textId="77777777" w:rsidR="00672249" w:rsidRDefault="00672249">
            <w:pPr>
              <w:rPr>
                <w:color w:val="000000"/>
                <w:sz w:val="22"/>
                <w:szCs w:val="22"/>
              </w:rPr>
            </w:pPr>
          </w:p>
          <w:p w14:paraId="2F268ECD" w14:textId="77777777" w:rsidR="00672249" w:rsidRDefault="00672249">
            <w:pPr>
              <w:rPr>
                <w:color w:val="000000"/>
                <w:sz w:val="22"/>
                <w:szCs w:val="22"/>
              </w:rPr>
            </w:pPr>
          </w:p>
        </w:tc>
        <w:tc>
          <w:tcPr>
            <w:tcW w:w="4770"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754107DD" w14:textId="77777777" w:rsidR="00672249" w:rsidRDefault="00E5629D">
            <w:pPr>
              <w:rPr>
                <w:color w:val="000000"/>
                <w:sz w:val="22"/>
                <w:szCs w:val="22"/>
              </w:rPr>
            </w:pPr>
            <w:r>
              <w:rPr>
                <w:color w:val="000000"/>
                <w:sz w:val="22"/>
                <w:szCs w:val="22"/>
              </w:rPr>
              <w:t>Sum of PFOA and PFOS</w:t>
            </w:r>
          </w:p>
          <w:p w14:paraId="5AD7AEBB" w14:textId="77777777" w:rsidR="00672249" w:rsidRDefault="00672249">
            <w:pPr>
              <w:rPr>
                <w:color w:val="000000"/>
                <w:sz w:val="22"/>
                <w:szCs w:val="22"/>
              </w:rPr>
            </w:pPr>
          </w:p>
          <w:p w14:paraId="1F57291B" w14:textId="77777777" w:rsidR="00672249" w:rsidRDefault="00E5629D">
            <w:pPr>
              <w:rPr>
                <w:color w:val="000000"/>
                <w:sz w:val="22"/>
                <w:szCs w:val="22"/>
              </w:rPr>
            </w:pPr>
            <w:r>
              <w:rPr>
                <w:color w:val="000000"/>
                <w:sz w:val="22"/>
                <w:szCs w:val="22"/>
              </w:rPr>
              <w:t>PFOS</w:t>
            </w:r>
          </w:p>
          <w:p w14:paraId="6DD0BD3C" w14:textId="77777777" w:rsidR="00672249" w:rsidRDefault="00672249">
            <w:pPr>
              <w:rPr>
                <w:color w:val="000000"/>
                <w:sz w:val="22"/>
                <w:szCs w:val="22"/>
              </w:rPr>
            </w:pPr>
          </w:p>
          <w:p w14:paraId="7BF88B1F" w14:textId="77777777" w:rsidR="00672249" w:rsidRDefault="00E5629D">
            <w:pPr>
              <w:rPr>
                <w:color w:val="000000"/>
                <w:sz w:val="22"/>
                <w:szCs w:val="22"/>
              </w:rPr>
            </w:pPr>
            <w:r>
              <w:rPr>
                <w:color w:val="000000"/>
                <w:sz w:val="22"/>
                <w:szCs w:val="22"/>
              </w:rPr>
              <w:t>PFOA</w:t>
            </w:r>
          </w:p>
        </w:tc>
        <w:tc>
          <w:tcPr>
            <w:tcW w:w="1350" w:type="dxa"/>
            <w:tcBorders>
              <w:top w:val="single" w:sz="6" w:space="0" w:color="DDDDDD"/>
              <w:left w:val="single" w:sz="6" w:space="0" w:color="DDDDDD"/>
              <w:bottom w:val="single" w:sz="6" w:space="0" w:color="DDDDDD"/>
            </w:tcBorders>
            <w:shd w:val="clear" w:color="auto" w:fill="578FBF"/>
            <w:tcMar>
              <w:top w:w="120" w:type="dxa"/>
              <w:left w:w="120" w:type="dxa"/>
              <w:bottom w:w="120" w:type="dxa"/>
              <w:right w:w="120" w:type="dxa"/>
            </w:tcMar>
            <w:vAlign w:val="center"/>
            <w:hideMark/>
          </w:tcPr>
          <w:p w14:paraId="08FE2CDC" w14:textId="77777777" w:rsidR="00672249" w:rsidRDefault="00E5629D">
            <w:pPr>
              <w:rPr>
                <w:color w:val="000000"/>
                <w:sz w:val="22"/>
                <w:szCs w:val="22"/>
              </w:rPr>
            </w:pPr>
            <w:r>
              <w:rPr>
                <w:color w:val="000000"/>
                <w:sz w:val="22"/>
                <w:szCs w:val="22"/>
              </w:rPr>
              <w:t>70</w:t>
            </w:r>
          </w:p>
          <w:p w14:paraId="1A0BAC7F" w14:textId="77777777" w:rsidR="00672249" w:rsidRDefault="00672249">
            <w:pPr>
              <w:rPr>
                <w:color w:val="000000"/>
                <w:sz w:val="22"/>
                <w:szCs w:val="22"/>
              </w:rPr>
            </w:pPr>
          </w:p>
          <w:p w14:paraId="4CE53CEF" w14:textId="77777777" w:rsidR="00672249" w:rsidRDefault="00E5629D">
            <w:pPr>
              <w:rPr>
                <w:color w:val="000000"/>
                <w:sz w:val="22"/>
                <w:szCs w:val="22"/>
              </w:rPr>
            </w:pPr>
            <w:r>
              <w:rPr>
                <w:color w:val="000000"/>
                <w:sz w:val="22"/>
                <w:szCs w:val="22"/>
              </w:rPr>
              <w:t>13</w:t>
            </w:r>
          </w:p>
          <w:p w14:paraId="115F6A87" w14:textId="77777777" w:rsidR="00672249" w:rsidRDefault="00672249">
            <w:pPr>
              <w:rPr>
                <w:color w:val="000000"/>
                <w:sz w:val="22"/>
                <w:szCs w:val="22"/>
              </w:rPr>
            </w:pPr>
          </w:p>
          <w:p w14:paraId="14867E62" w14:textId="77777777" w:rsidR="00672249" w:rsidRDefault="00E5629D">
            <w:pPr>
              <w:rPr>
                <w:color w:val="000000"/>
                <w:sz w:val="22"/>
                <w:szCs w:val="22"/>
              </w:rPr>
            </w:pPr>
            <w:r>
              <w:rPr>
                <w:color w:val="000000"/>
                <w:sz w:val="22"/>
                <w:szCs w:val="22"/>
              </w:rPr>
              <w:t>14</w:t>
            </w:r>
          </w:p>
        </w:tc>
      </w:tr>
      <w:tr w:rsidR="00672249" w14:paraId="39BE5BB3" w14:textId="77777777">
        <w:tc>
          <w:tcPr>
            <w:tcW w:w="907" w:type="dxa"/>
            <w:tcBorders>
              <w:top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71929C12" w14:textId="77777777" w:rsidR="00672249" w:rsidRDefault="00E5629D">
            <w:pPr>
              <w:rPr>
                <w:color w:val="000000"/>
                <w:sz w:val="22"/>
                <w:szCs w:val="22"/>
              </w:rPr>
            </w:pPr>
            <w:r>
              <w:rPr>
                <w:b/>
                <w:bCs/>
                <w:color w:val="000000"/>
                <w:sz w:val="22"/>
                <w:szCs w:val="22"/>
              </w:rPr>
              <w:t>CT</w:t>
            </w:r>
          </w:p>
        </w:tc>
        <w:tc>
          <w:tcPr>
            <w:tcW w:w="3675"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207A4BB6" w14:textId="77777777" w:rsidR="00672249" w:rsidRDefault="00E5629D">
            <w:pPr>
              <w:rPr>
                <w:color w:val="000000"/>
                <w:sz w:val="22"/>
                <w:szCs w:val="22"/>
              </w:rPr>
            </w:pPr>
            <w:r>
              <w:rPr>
                <w:color w:val="000000"/>
                <w:sz w:val="22"/>
                <w:szCs w:val="22"/>
              </w:rPr>
              <w:t>Action Level</w:t>
            </w:r>
          </w:p>
        </w:tc>
        <w:tc>
          <w:tcPr>
            <w:tcW w:w="4770"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0EB7519F" w14:textId="77777777" w:rsidR="00672249" w:rsidRDefault="00E5629D">
            <w:pPr>
              <w:rPr>
                <w:color w:val="000000"/>
                <w:sz w:val="22"/>
                <w:szCs w:val="22"/>
              </w:rPr>
            </w:pPr>
            <w:r>
              <w:rPr>
                <w:color w:val="000000"/>
                <w:sz w:val="22"/>
                <w:szCs w:val="22"/>
              </w:rPr>
              <w:t xml:space="preserve">Sum of PFOA, PFOS, PFNA, </w:t>
            </w:r>
            <w:proofErr w:type="spellStart"/>
            <w:r>
              <w:rPr>
                <w:color w:val="000000"/>
                <w:sz w:val="22"/>
                <w:szCs w:val="22"/>
              </w:rPr>
              <w:t>PFHxS</w:t>
            </w:r>
            <w:proofErr w:type="spellEnd"/>
            <w:r>
              <w:rPr>
                <w:color w:val="000000"/>
                <w:sz w:val="22"/>
                <w:szCs w:val="22"/>
              </w:rPr>
              <w:t xml:space="preserve">, </w:t>
            </w:r>
            <w:proofErr w:type="spellStart"/>
            <w:r>
              <w:rPr>
                <w:color w:val="000000"/>
                <w:sz w:val="22"/>
                <w:szCs w:val="22"/>
              </w:rPr>
              <w:t>PFHpA</w:t>
            </w:r>
            <w:proofErr w:type="spellEnd"/>
          </w:p>
        </w:tc>
        <w:tc>
          <w:tcPr>
            <w:tcW w:w="1350" w:type="dxa"/>
            <w:tcBorders>
              <w:top w:val="single" w:sz="6" w:space="0" w:color="DDDDDD"/>
              <w:left w:val="single" w:sz="6" w:space="0" w:color="DDDDDD"/>
              <w:bottom w:val="single" w:sz="6" w:space="0" w:color="DDDDDD"/>
            </w:tcBorders>
            <w:shd w:val="clear" w:color="auto" w:fill="8EB4D4"/>
            <w:tcMar>
              <w:top w:w="120" w:type="dxa"/>
              <w:left w:w="120" w:type="dxa"/>
              <w:bottom w:w="120" w:type="dxa"/>
              <w:right w:w="120" w:type="dxa"/>
            </w:tcMar>
            <w:vAlign w:val="center"/>
            <w:hideMark/>
          </w:tcPr>
          <w:p w14:paraId="29C305B3" w14:textId="77777777" w:rsidR="00672249" w:rsidRDefault="00E5629D">
            <w:pPr>
              <w:rPr>
                <w:color w:val="000000"/>
                <w:sz w:val="22"/>
                <w:szCs w:val="22"/>
              </w:rPr>
            </w:pPr>
            <w:r>
              <w:rPr>
                <w:color w:val="000000"/>
                <w:sz w:val="22"/>
                <w:szCs w:val="22"/>
              </w:rPr>
              <w:t>70</w:t>
            </w:r>
          </w:p>
        </w:tc>
      </w:tr>
      <w:tr w:rsidR="00672249" w14:paraId="2BE25631" w14:textId="77777777">
        <w:tc>
          <w:tcPr>
            <w:tcW w:w="907" w:type="dxa"/>
            <w:tcBorders>
              <w:top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56D0BA4B" w14:textId="77777777" w:rsidR="00672249" w:rsidRDefault="00E5629D">
            <w:pPr>
              <w:rPr>
                <w:color w:val="000000"/>
                <w:sz w:val="22"/>
                <w:szCs w:val="22"/>
              </w:rPr>
            </w:pPr>
            <w:r>
              <w:rPr>
                <w:b/>
                <w:bCs/>
                <w:color w:val="000000"/>
                <w:sz w:val="22"/>
                <w:szCs w:val="22"/>
              </w:rPr>
              <w:t>ME</w:t>
            </w:r>
          </w:p>
        </w:tc>
        <w:tc>
          <w:tcPr>
            <w:tcW w:w="3675"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2087A80A" w14:textId="77777777" w:rsidR="00672249" w:rsidRDefault="00E5629D">
            <w:pPr>
              <w:rPr>
                <w:color w:val="000000"/>
                <w:sz w:val="22"/>
                <w:szCs w:val="22"/>
              </w:rPr>
            </w:pPr>
            <w:r>
              <w:rPr>
                <w:color w:val="000000"/>
                <w:sz w:val="22"/>
                <w:szCs w:val="22"/>
              </w:rPr>
              <w:t xml:space="preserve">Maximum Exposure </w:t>
            </w:r>
            <w:r>
              <w:rPr>
                <w:b/>
                <w:bCs/>
                <w:i/>
                <w:iCs/>
                <w:color w:val="000000"/>
                <w:sz w:val="22"/>
                <w:szCs w:val="22"/>
              </w:rPr>
              <w:t>Guideline</w:t>
            </w:r>
          </w:p>
        </w:tc>
        <w:tc>
          <w:tcPr>
            <w:tcW w:w="4770"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0F46447A" w14:textId="77777777" w:rsidR="00672249" w:rsidRDefault="00E5629D">
            <w:pPr>
              <w:rPr>
                <w:color w:val="000000"/>
                <w:sz w:val="22"/>
                <w:szCs w:val="22"/>
              </w:rPr>
            </w:pPr>
            <w:r>
              <w:rPr>
                <w:color w:val="000000"/>
                <w:sz w:val="22"/>
                <w:szCs w:val="22"/>
              </w:rPr>
              <w:t>Sum of PFOA and PFOS</w:t>
            </w:r>
          </w:p>
        </w:tc>
        <w:tc>
          <w:tcPr>
            <w:tcW w:w="1350" w:type="dxa"/>
            <w:tcBorders>
              <w:top w:val="single" w:sz="6" w:space="0" w:color="DDDDDD"/>
              <w:left w:val="single" w:sz="6" w:space="0" w:color="DDDDDD"/>
              <w:bottom w:val="single" w:sz="6" w:space="0" w:color="DDDDDD"/>
            </w:tcBorders>
            <w:shd w:val="clear" w:color="auto" w:fill="578FBF"/>
            <w:tcMar>
              <w:top w:w="120" w:type="dxa"/>
              <w:left w:w="120" w:type="dxa"/>
              <w:bottom w:w="120" w:type="dxa"/>
              <w:right w:w="120" w:type="dxa"/>
            </w:tcMar>
            <w:vAlign w:val="center"/>
            <w:hideMark/>
          </w:tcPr>
          <w:p w14:paraId="15BDC2AE" w14:textId="77777777" w:rsidR="00672249" w:rsidRDefault="00E5629D">
            <w:pPr>
              <w:rPr>
                <w:color w:val="000000"/>
                <w:sz w:val="22"/>
                <w:szCs w:val="22"/>
              </w:rPr>
            </w:pPr>
            <w:r>
              <w:rPr>
                <w:color w:val="000000"/>
                <w:sz w:val="22"/>
                <w:szCs w:val="22"/>
              </w:rPr>
              <w:t>70</w:t>
            </w:r>
          </w:p>
        </w:tc>
      </w:tr>
      <w:tr w:rsidR="00672249" w14:paraId="77981A16" w14:textId="77777777">
        <w:tc>
          <w:tcPr>
            <w:tcW w:w="907" w:type="dxa"/>
            <w:tcBorders>
              <w:top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25116C7F" w14:textId="77777777" w:rsidR="00672249" w:rsidRDefault="00E5629D">
            <w:pPr>
              <w:rPr>
                <w:color w:val="000000"/>
                <w:sz w:val="22"/>
                <w:szCs w:val="22"/>
              </w:rPr>
            </w:pPr>
            <w:r>
              <w:rPr>
                <w:b/>
                <w:bCs/>
                <w:color w:val="000000"/>
                <w:sz w:val="22"/>
                <w:szCs w:val="22"/>
              </w:rPr>
              <w:lastRenderedPageBreak/>
              <w:t>MASS</w:t>
            </w:r>
          </w:p>
        </w:tc>
        <w:tc>
          <w:tcPr>
            <w:tcW w:w="3675"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287BFDAF" w14:textId="77777777" w:rsidR="00672249" w:rsidRDefault="00E5629D">
            <w:pPr>
              <w:rPr>
                <w:color w:val="000000"/>
                <w:sz w:val="22"/>
                <w:szCs w:val="22"/>
              </w:rPr>
            </w:pPr>
            <w:r>
              <w:rPr>
                <w:color w:val="000000"/>
                <w:sz w:val="22"/>
                <w:szCs w:val="22"/>
              </w:rPr>
              <w:t xml:space="preserve">Office of Research &amp; Standards </w:t>
            </w:r>
            <w:r>
              <w:rPr>
                <w:b/>
                <w:bCs/>
                <w:i/>
                <w:iCs/>
                <w:color w:val="000000"/>
                <w:sz w:val="22"/>
                <w:szCs w:val="22"/>
              </w:rPr>
              <w:t>Guideline</w:t>
            </w:r>
          </w:p>
        </w:tc>
        <w:tc>
          <w:tcPr>
            <w:tcW w:w="4770"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37BFE93C" w14:textId="77777777" w:rsidR="00672249" w:rsidRDefault="00E5629D">
            <w:pPr>
              <w:rPr>
                <w:color w:val="000000"/>
                <w:sz w:val="22"/>
                <w:szCs w:val="22"/>
              </w:rPr>
            </w:pPr>
            <w:r>
              <w:rPr>
                <w:color w:val="000000"/>
                <w:sz w:val="22"/>
                <w:szCs w:val="22"/>
              </w:rPr>
              <w:t xml:space="preserve">Sum of PFOA, PFOS, PFNA </w:t>
            </w:r>
            <w:proofErr w:type="spellStart"/>
            <w:r>
              <w:rPr>
                <w:color w:val="000000"/>
                <w:sz w:val="22"/>
                <w:szCs w:val="22"/>
              </w:rPr>
              <w:t>PFHxS</w:t>
            </w:r>
            <w:proofErr w:type="spellEnd"/>
            <w:r>
              <w:rPr>
                <w:color w:val="000000"/>
                <w:sz w:val="22"/>
                <w:szCs w:val="22"/>
              </w:rPr>
              <w:t xml:space="preserve">, </w:t>
            </w:r>
            <w:proofErr w:type="spellStart"/>
            <w:r>
              <w:rPr>
                <w:color w:val="000000"/>
                <w:sz w:val="22"/>
                <w:szCs w:val="22"/>
              </w:rPr>
              <w:t>PFHpA</w:t>
            </w:r>
            <w:proofErr w:type="spellEnd"/>
          </w:p>
        </w:tc>
        <w:tc>
          <w:tcPr>
            <w:tcW w:w="1350" w:type="dxa"/>
            <w:tcBorders>
              <w:top w:val="single" w:sz="6" w:space="0" w:color="DDDDDD"/>
              <w:left w:val="single" w:sz="6" w:space="0" w:color="DDDDDD"/>
              <w:bottom w:val="single" w:sz="6" w:space="0" w:color="DDDDDD"/>
            </w:tcBorders>
            <w:shd w:val="clear" w:color="auto" w:fill="8EB4D4"/>
            <w:tcMar>
              <w:top w:w="120" w:type="dxa"/>
              <w:left w:w="120" w:type="dxa"/>
              <w:bottom w:w="120" w:type="dxa"/>
              <w:right w:w="120" w:type="dxa"/>
            </w:tcMar>
            <w:vAlign w:val="center"/>
            <w:hideMark/>
          </w:tcPr>
          <w:p w14:paraId="58636149" w14:textId="77777777" w:rsidR="00672249" w:rsidRDefault="00E5629D">
            <w:pPr>
              <w:rPr>
                <w:color w:val="000000"/>
                <w:sz w:val="22"/>
                <w:szCs w:val="22"/>
              </w:rPr>
            </w:pPr>
            <w:r>
              <w:rPr>
                <w:color w:val="000000"/>
                <w:sz w:val="22"/>
                <w:szCs w:val="22"/>
              </w:rPr>
              <w:t>70</w:t>
            </w:r>
          </w:p>
        </w:tc>
      </w:tr>
      <w:tr w:rsidR="00672249" w14:paraId="75D31D7A" w14:textId="77777777">
        <w:tc>
          <w:tcPr>
            <w:tcW w:w="907" w:type="dxa"/>
            <w:tcBorders>
              <w:top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212DC5C4" w14:textId="77777777" w:rsidR="00672249" w:rsidRDefault="00E5629D">
            <w:pPr>
              <w:rPr>
                <w:color w:val="000000"/>
                <w:sz w:val="22"/>
                <w:szCs w:val="22"/>
              </w:rPr>
            </w:pPr>
            <w:r>
              <w:rPr>
                <w:b/>
                <w:bCs/>
                <w:color w:val="000000"/>
                <w:sz w:val="22"/>
                <w:szCs w:val="22"/>
              </w:rPr>
              <w:t>MN</w:t>
            </w:r>
          </w:p>
        </w:tc>
        <w:tc>
          <w:tcPr>
            <w:tcW w:w="3675"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7408A8C5" w14:textId="77777777" w:rsidR="00672249" w:rsidRDefault="00E5629D">
            <w:pPr>
              <w:rPr>
                <w:color w:val="000000"/>
                <w:sz w:val="22"/>
                <w:szCs w:val="22"/>
              </w:rPr>
            </w:pPr>
            <w:r>
              <w:rPr>
                <w:color w:val="000000"/>
                <w:sz w:val="22"/>
                <w:szCs w:val="22"/>
              </w:rPr>
              <w:t xml:space="preserve">Health Based Value </w:t>
            </w:r>
            <w:r>
              <w:rPr>
                <w:b/>
                <w:bCs/>
                <w:i/>
                <w:iCs/>
                <w:color w:val="000000"/>
                <w:sz w:val="22"/>
                <w:szCs w:val="22"/>
              </w:rPr>
              <w:t>Guidance</w:t>
            </w:r>
            <w:r>
              <w:rPr>
                <w:color w:val="000000"/>
                <w:sz w:val="22"/>
                <w:szCs w:val="22"/>
              </w:rPr>
              <w:t xml:space="preserve"> </w:t>
            </w:r>
          </w:p>
          <w:p w14:paraId="0B3F9318" w14:textId="77777777" w:rsidR="00672249" w:rsidRDefault="00E5629D">
            <w:pPr>
              <w:rPr>
                <w:color w:val="000000"/>
                <w:sz w:val="22"/>
                <w:szCs w:val="22"/>
              </w:rPr>
            </w:pPr>
            <w:r>
              <w:rPr>
                <w:color w:val="000000"/>
                <w:sz w:val="22"/>
                <w:szCs w:val="22"/>
              </w:rPr>
              <w:t> </w:t>
            </w:r>
          </w:p>
        </w:tc>
        <w:tc>
          <w:tcPr>
            <w:tcW w:w="4770"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20FAA735" w14:textId="77777777" w:rsidR="00672249" w:rsidRDefault="00E5629D">
            <w:pPr>
              <w:rPr>
                <w:color w:val="000000"/>
                <w:sz w:val="22"/>
                <w:szCs w:val="22"/>
              </w:rPr>
            </w:pPr>
            <w:r>
              <w:rPr>
                <w:color w:val="000000"/>
                <w:sz w:val="22"/>
                <w:szCs w:val="22"/>
              </w:rPr>
              <w:t>PFOA</w:t>
            </w:r>
          </w:p>
          <w:p w14:paraId="4AED6B87" w14:textId="77777777" w:rsidR="00672249" w:rsidRDefault="00E5629D">
            <w:pPr>
              <w:rPr>
                <w:color w:val="000000"/>
                <w:sz w:val="22"/>
                <w:szCs w:val="22"/>
              </w:rPr>
            </w:pPr>
            <w:r>
              <w:rPr>
                <w:color w:val="000000"/>
                <w:sz w:val="22"/>
                <w:szCs w:val="22"/>
              </w:rPr>
              <w:t>PFOS</w:t>
            </w:r>
          </w:p>
        </w:tc>
        <w:tc>
          <w:tcPr>
            <w:tcW w:w="1350" w:type="dxa"/>
            <w:tcBorders>
              <w:top w:val="single" w:sz="6" w:space="0" w:color="DDDDDD"/>
              <w:left w:val="single" w:sz="6" w:space="0" w:color="DDDDDD"/>
              <w:bottom w:val="single" w:sz="6" w:space="0" w:color="DDDDDD"/>
            </w:tcBorders>
            <w:shd w:val="clear" w:color="auto" w:fill="578FBF"/>
            <w:tcMar>
              <w:top w:w="120" w:type="dxa"/>
              <w:left w:w="120" w:type="dxa"/>
              <w:bottom w:w="120" w:type="dxa"/>
              <w:right w:w="120" w:type="dxa"/>
            </w:tcMar>
            <w:vAlign w:val="center"/>
            <w:hideMark/>
          </w:tcPr>
          <w:p w14:paraId="1142FAA1" w14:textId="77777777" w:rsidR="00672249" w:rsidRDefault="00E5629D">
            <w:pPr>
              <w:rPr>
                <w:color w:val="000000"/>
                <w:sz w:val="22"/>
                <w:szCs w:val="22"/>
              </w:rPr>
            </w:pPr>
            <w:r>
              <w:rPr>
                <w:color w:val="000000"/>
                <w:sz w:val="22"/>
                <w:szCs w:val="22"/>
              </w:rPr>
              <w:t>35</w:t>
            </w:r>
          </w:p>
          <w:p w14:paraId="5195AB22" w14:textId="77777777" w:rsidR="00672249" w:rsidRDefault="00E5629D">
            <w:pPr>
              <w:rPr>
                <w:color w:val="000000"/>
                <w:sz w:val="22"/>
                <w:szCs w:val="22"/>
              </w:rPr>
            </w:pPr>
            <w:r>
              <w:rPr>
                <w:color w:val="000000"/>
                <w:sz w:val="22"/>
                <w:szCs w:val="22"/>
              </w:rPr>
              <w:t>27</w:t>
            </w:r>
          </w:p>
        </w:tc>
      </w:tr>
      <w:tr w:rsidR="00672249" w14:paraId="0EEA8FA7" w14:textId="77777777">
        <w:tc>
          <w:tcPr>
            <w:tcW w:w="907" w:type="dxa"/>
            <w:tcBorders>
              <w:top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3F1EC143" w14:textId="77777777" w:rsidR="00672249" w:rsidRDefault="00E5629D">
            <w:pPr>
              <w:rPr>
                <w:color w:val="000000"/>
                <w:sz w:val="22"/>
                <w:szCs w:val="22"/>
              </w:rPr>
            </w:pPr>
            <w:r>
              <w:rPr>
                <w:b/>
                <w:bCs/>
                <w:color w:val="000000"/>
                <w:sz w:val="22"/>
                <w:szCs w:val="22"/>
              </w:rPr>
              <w:t>NH</w:t>
            </w:r>
          </w:p>
        </w:tc>
        <w:tc>
          <w:tcPr>
            <w:tcW w:w="3675"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19E90F91" w14:textId="77777777" w:rsidR="00672249" w:rsidRDefault="00E5629D">
            <w:pPr>
              <w:rPr>
                <w:color w:val="000000"/>
                <w:sz w:val="22"/>
                <w:szCs w:val="22"/>
              </w:rPr>
            </w:pPr>
            <w:r>
              <w:rPr>
                <w:color w:val="000000"/>
                <w:sz w:val="22"/>
                <w:szCs w:val="22"/>
              </w:rPr>
              <w:t>Proposed Regulations</w:t>
            </w:r>
            <w:r>
              <w:rPr>
                <w:rFonts w:ascii="Calibri" w:eastAsia="Calibri" w:hAnsi="Calibri" w:cs="Calibri"/>
                <w:color w:val="000000"/>
                <w:vertAlign w:val="superscript"/>
              </w:rPr>
              <w:footnoteReference w:id="3"/>
            </w:r>
            <w:r>
              <w:rPr>
                <w:color w:val="000000"/>
                <w:sz w:val="22"/>
                <w:szCs w:val="22"/>
              </w:rPr>
              <w:t xml:space="preserve"> </w:t>
            </w:r>
          </w:p>
          <w:p w14:paraId="1D06FA8E" w14:textId="77777777" w:rsidR="00672249" w:rsidRDefault="00672249">
            <w:pPr>
              <w:rPr>
                <w:color w:val="000000"/>
                <w:sz w:val="22"/>
                <w:szCs w:val="22"/>
              </w:rPr>
            </w:pPr>
          </w:p>
        </w:tc>
        <w:tc>
          <w:tcPr>
            <w:tcW w:w="4770" w:type="dxa"/>
            <w:tcBorders>
              <w:top w:val="single" w:sz="6" w:space="0" w:color="DDDDDD"/>
              <w:left w:val="single" w:sz="6" w:space="0" w:color="DDDDDD"/>
              <w:bottom w:val="single" w:sz="6" w:space="0" w:color="DDDDDD"/>
              <w:right w:val="single" w:sz="6" w:space="0" w:color="DDDDDD"/>
            </w:tcBorders>
            <w:shd w:val="clear" w:color="auto" w:fill="8EB4D4"/>
            <w:tcMar>
              <w:top w:w="120" w:type="dxa"/>
              <w:left w:w="120" w:type="dxa"/>
              <w:bottom w:w="120" w:type="dxa"/>
              <w:right w:w="120" w:type="dxa"/>
            </w:tcMar>
            <w:vAlign w:val="center"/>
            <w:hideMark/>
          </w:tcPr>
          <w:p w14:paraId="2FC6DB00" w14:textId="77777777" w:rsidR="00672249" w:rsidRDefault="00E5629D">
            <w:pPr>
              <w:rPr>
                <w:color w:val="000000"/>
                <w:sz w:val="22"/>
                <w:szCs w:val="22"/>
              </w:rPr>
            </w:pPr>
            <w:r>
              <w:rPr>
                <w:color w:val="000000"/>
                <w:sz w:val="22"/>
                <w:szCs w:val="22"/>
              </w:rPr>
              <w:t>PFOA</w:t>
            </w:r>
          </w:p>
          <w:p w14:paraId="7ACC586D" w14:textId="77777777" w:rsidR="00672249" w:rsidRDefault="00672249">
            <w:pPr>
              <w:rPr>
                <w:color w:val="000000"/>
                <w:sz w:val="22"/>
                <w:szCs w:val="22"/>
              </w:rPr>
            </w:pPr>
          </w:p>
          <w:p w14:paraId="0C694E1A" w14:textId="77777777" w:rsidR="00672249" w:rsidRDefault="00E5629D">
            <w:pPr>
              <w:rPr>
                <w:color w:val="000000"/>
                <w:sz w:val="22"/>
                <w:szCs w:val="22"/>
              </w:rPr>
            </w:pPr>
            <w:r>
              <w:rPr>
                <w:color w:val="000000"/>
                <w:sz w:val="22"/>
                <w:szCs w:val="22"/>
              </w:rPr>
              <w:t>PFOS</w:t>
            </w:r>
          </w:p>
          <w:p w14:paraId="3EE602B4" w14:textId="77777777" w:rsidR="00672249" w:rsidRDefault="00672249">
            <w:pPr>
              <w:rPr>
                <w:color w:val="000000"/>
                <w:sz w:val="22"/>
                <w:szCs w:val="22"/>
              </w:rPr>
            </w:pPr>
          </w:p>
          <w:p w14:paraId="19028344" w14:textId="77777777" w:rsidR="00672249" w:rsidRDefault="00E5629D">
            <w:pPr>
              <w:rPr>
                <w:color w:val="000000"/>
                <w:sz w:val="22"/>
                <w:szCs w:val="22"/>
              </w:rPr>
            </w:pPr>
            <w:r>
              <w:rPr>
                <w:color w:val="000000"/>
                <w:sz w:val="22"/>
                <w:szCs w:val="22"/>
              </w:rPr>
              <w:t>Sum of PFOA and PFOS</w:t>
            </w:r>
          </w:p>
          <w:p w14:paraId="1072934F" w14:textId="77777777" w:rsidR="00672249" w:rsidRDefault="00672249">
            <w:pPr>
              <w:rPr>
                <w:color w:val="000000"/>
                <w:sz w:val="22"/>
                <w:szCs w:val="22"/>
              </w:rPr>
            </w:pPr>
          </w:p>
          <w:p w14:paraId="1689FBBE" w14:textId="77777777" w:rsidR="00672249" w:rsidRDefault="00E5629D">
            <w:pPr>
              <w:rPr>
                <w:color w:val="000000"/>
                <w:sz w:val="22"/>
                <w:szCs w:val="22"/>
              </w:rPr>
            </w:pPr>
            <w:proofErr w:type="spellStart"/>
            <w:r>
              <w:rPr>
                <w:color w:val="000000"/>
                <w:sz w:val="22"/>
                <w:szCs w:val="22"/>
              </w:rPr>
              <w:t>PFHxS</w:t>
            </w:r>
            <w:proofErr w:type="spellEnd"/>
          </w:p>
          <w:p w14:paraId="468B6AC9" w14:textId="77777777" w:rsidR="00672249" w:rsidRDefault="00672249">
            <w:pPr>
              <w:rPr>
                <w:color w:val="000000"/>
                <w:sz w:val="22"/>
                <w:szCs w:val="22"/>
              </w:rPr>
            </w:pPr>
          </w:p>
          <w:p w14:paraId="6D8C74C9" w14:textId="77777777" w:rsidR="00672249" w:rsidRDefault="00E5629D">
            <w:pPr>
              <w:rPr>
                <w:color w:val="000000"/>
                <w:sz w:val="22"/>
                <w:szCs w:val="22"/>
              </w:rPr>
            </w:pPr>
            <w:r>
              <w:rPr>
                <w:color w:val="000000"/>
                <w:sz w:val="22"/>
                <w:szCs w:val="22"/>
              </w:rPr>
              <w:t>PFNA</w:t>
            </w:r>
          </w:p>
        </w:tc>
        <w:tc>
          <w:tcPr>
            <w:tcW w:w="1350" w:type="dxa"/>
            <w:tcBorders>
              <w:top w:val="single" w:sz="6" w:space="0" w:color="DDDDDD"/>
              <w:left w:val="single" w:sz="6" w:space="0" w:color="DDDDDD"/>
              <w:bottom w:val="single" w:sz="6" w:space="0" w:color="DDDDDD"/>
            </w:tcBorders>
            <w:shd w:val="clear" w:color="auto" w:fill="8EB4D4"/>
            <w:tcMar>
              <w:top w:w="120" w:type="dxa"/>
              <w:left w:w="120" w:type="dxa"/>
              <w:bottom w:w="120" w:type="dxa"/>
              <w:right w:w="120" w:type="dxa"/>
            </w:tcMar>
            <w:vAlign w:val="center"/>
            <w:hideMark/>
          </w:tcPr>
          <w:p w14:paraId="40694612" w14:textId="77777777" w:rsidR="00672249" w:rsidRDefault="00E5629D">
            <w:pPr>
              <w:rPr>
                <w:color w:val="000000"/>
                <w:sz w:val="22"/>
                <w:szCs w:val="22"/>
              </w:rPr>
            </w:pPr>
            <w:r>
              <w:rPr>
                <w:color w:val="000000"/>
                <w:sz w:val="22"/>
                <w:szCs w:val="22"/>
              </w:rPr>
              <w:t>38</w:t>
            </w:r>
          </w:p>
          <w:p w14:paraId="21B1EE8B" w14:textId="77777777" w:rsidR="00672249" w:rsidRDefault="00672249">
            <w:pPr>
              <w:rPr>
                <w:color w:val="000000"/>
                <w:sz w:val="22"/>
                <w:szCs w:val="22"/>
              </w:rPr>
            </w:pPr>
          </w:p>
          <w:p w14:paraId="42190158" w14:textId="77777777" w:rsidR="00672249" w:rsidRDefault="00E5629D">
            <w:pPr>
              <w:rPr>
                <w:color w:val="000000"/>
                <w:sz w:val="22"/>
                <w:szCs w:val="22"/>
              </w:rPr>
            </w:pPr>
            <w:r>
              <w:rPr>
                <w:color w:val="000000"/>
                <w:sz w:val="22"/>
                <w:szCs w:val="22"/>
              </w:rPr>
              <w:t>70</w:t>
            </w:r>
          </w:p>
          <w:p w14:paraId="5455654F" w14:textId="77777777" w:rsidR="00672249" w:rsidRDefault="00672249">
            <w:pPr>
              <w:rPr>
                <w:color w:val="000000"/>
                <w:sz w:val="22"/>
                <w:szCs w:val="22"/>
              </w:rPr>
            </w:pPr>
          </w:p>
          <w:p w14:paraId="6B1C6775" w14:textId="77777777" w:rsidR="00672249" w:rsidRDefault="00E5629D">
            <w:pPr>
              <w:rPr>
                <w:color w:val="000000"/>
                <w:sz w:val="22"/>
                <w:szCs w:val="22"/>
              </w:rPr>
            </w:pPr>
            <w:r>
              <w:rPr>
                <w:color w:val="000000"/>
                <w:sz w:val="22"/>
                <w:szCs w:val="22"/>
              </w:rPr>
              <w:t>70</w:t>
            </w:r>
          </w:p>
          <w:p w14:paraId="3BB9D297" w14:textId="77777777" w:rsidR="00672249" w:rsidRDefault="00672249">
            <w:pPr>
              <w:rPr>
                <w:color w:val="000000"/>
                <w:sz w:val="22"/>
                <w:szCs w:val="22"/>
              </w:rPr>
            </w:pPr>
          </w:p>
          <w:p w14:paraId="62D0B1A9" w14:textId="77777777" w:rsidR="00672249" w:rsidRDefault="00E5629D">
            <w:pPr>
              <w:rPr>
                <w:color w:val="000000"/>
                <w:sz w:val="22"/>
                <w:szCs w:val="22"/>
              </w:rPr>
            </w:pPr>
            <w:r>
              <w:rPr>
                <w:color w:val="000000"/>
                <w:sz w:val="22"/>
                <w:szCs w:val="22"/>
              </w:rPr>
              <w:t>85</w:t>
            </w:r>
          </w:p>
          <w:p w14:paraId="7B3C932E" w14:textId="77777777" w:rsidR="00672249" w:rsidRDefault="00672249">
            <w:pPr>
              <w:rPr>
                <w:color w:val="000000"/>
                <w:sz w:val="22"/>
                <w:szCs w:val="22"/>
              </w:rPr>
            </w:pPr>
          </w:p>
          <w:p w14:paraId="5DE75667" w14:textId="77777777" w:rsidR="00672249" w:rsidRDefault="00E5629D">
            <w:pPr>
              <w:rPr>
                <w:color w:val="000000"/>
                <w:sz w:val="22"/>
                <w:szCs w:val="22"/>
              </w:rPr>
            </w:pPr>
            <w:r>
              <w:rPr>
                <w:color w:val="000000"/>
                <w:sz w:val="22"/>
                <w:szCs w:val="22"/>
              </w:rPr>
              <w:t>23</w:t>
            </w:r>
          </w:p>
        </w:tc>
      </w:tr>
      <w:tr w:rsidR="00672249" w14:paraId="5F6AD677" w14:textId="77777777">
        <w:tc>
          <w:tcPr>
            <w:tcW w:w="907" w:type="dxa"/>
            <w:tcBorders>
              <w:top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5795B22A" w14:textId="77777777" w:rsidR="00672249" w:rsidRDefault="00E5629D">
            <w:pPr>
              <w:rPr>
                <w:color w:val="000000"/>
                <w:sz w:val="22"/>
                <w:szCs w:val="22"/>
              </w:rPr>
            </w:pPr>
            <w:r>
              <w:rPr>
                <w:b/>
                <w:bCs/>
                <w:color w:val="000000"/>
                <w:sz w:val="22"/>
                <w:szCs w:val="22"/>
              </w:rPr>
              <w:t>NJ</w:t>
            </w:r>
          </w:p>
        </w:tc>
        <w:tc>
          <w:tcPr>
            <w:tcW w:w="3675"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24E0CD73" w14:textId="77777777" w:rsidR="00672249" w:rsidRDefault="00E5629D">
            <w:pPr>
              <w:rPr>
                <w:color w:val="000000"/>
                <w:sz w:val="22"/>
                <w:szCs w:val="22"/>
              </w:rPr>
            </w:pPr>
            <w:r>
              <w:rPr>
                <w:color w:val="000000"/>
                <w:sz w:val="22"/>
                <w:szCs w:val="22"/>
              </w:rPr>
              <w:t>MCL</w:t>
            </w:r>
          </w:p>
          <w:p w14:paraId="5F368699" w14:textId="77777777" w:rsidR="00672249" w:rsidRDefault="00672249">
            <w:pPr>
              <w:rPr>
                <w:color w:val="000000"/>
                <w:sz w:val="22"/>
                <w:szCs w:val="22"/>
              </w:rPr>
            </w:pPr>
          </w:p>
          <w:p w14:paraId="49D682E8" w14:textId="77777777" w:rsidR="00672249" w:rsidRDefault="00672249">
            <w:pPr>
              <w:rPr>
                <w:color w:val="000000"/>
                <w:sz w:val="22"/>
                <w:szCs w:val="22"/>
              </w:rPr>
            </w:pPr>
          </w:p>
          <w:p w14:paraId="4568EAA1" w14:textId="77777777" w:rsidR="00672249" w:rsidRDefault="00672249">
            <w:pPr>
              <w:rPr>
                <w:color w:val="000000"/>
                <w:sz w:val="22"/>
                <w:szCs w:val="22"/>
              </w:rPr>
            </w:pPr>
          </w:p>
          <w:p w14:paraId="64FDEEFD" w14:textId="77777777" w:rsidR="00672249" w:rsidRDefault="00E5629D">
            <w:pPr>
              <w:rPr>
                <w:color w:val="000000"/>
                <w:sz w:val="22"/>
                <w:szCs w:val="22"/>
              </w:rPr>
            </w:pPr>
            <w:r>
              <w:rPr>
                <w:color w:val="000000"/>
                <w:sz w:val="22"/>
                <w:szCs w:val="22"/>
              </w:rPr>
              <w:t>Proposed MCL</w:t>
            </w:r>
          </w:p>
        </w:tc>
        <w:tc>
          <w:tcPr>
            <w:tcW w:w="4770" w:type="dxa"/>
            <w:tcBorders>
              <w:top w:val="single" w:sz="6" w:space="0" w:color="DDDDDD"/>
              <w:left w:val="single" w:sz="6" w:space="0" w:color="DDDDDD"/>
              <w:bottom w:val="single" w:sz="6" w:space="0" w:color="DDDDDD"/>
              <w:right w:val="single" w:sz="6" w:space="0" w:color="DDDDDD"/>
            </w:tcBorders>
            <w:shd w:val="clear" w:color="auto" w:fill="578FBF"/>
            <w:tcMar>
              <w:top w:w="120" w:type="dxa"/>
              <w:left w:w="120" w:type="dxa"/>
              <w:bottom w:w="120" w:type="dxa"/>
              <w:right w:w="120" w:type="dxa"/>
            </w:tcMar>
            <w:vAlign w:val="center"/>
            <w:hideMark/>
          </w:tcPr>
          <w:p w14:paraId="7CC64B34" w14:textId="77777777" w:rsidR="00672249" w:rsidRDefault="00E5629D">
            <w:pPr>
              <w:rPr>
                <w:color w:val="000000"/>
                <w:sz w:val="22"/>
                <w:szCs w:val="22"/>
              </w:rPr>
            </w:pPr>
            <w:r>
              <w:rPr>
                <w:color w:val="000000"/>
                <w:sz w:val="22"/>
                <w:szCs w:val="22"/>
              </w:rPr>
              <w:t>PFNA</w:t>
            </w:r>
          </w:p>
          <w:p w14:paraId="5E400E4A" w14:textId="77777777" w:rsidR="00672249" w:rsidRDefault="00672249">
            <w:pPr>
              <w:rPr>
                <w:color w:val="000000"/>
                <w:sz w:val="22"/>
                <w:szCs w:val="22"/>
              </w:rPr>
            </w:pPr>
          </w:p>
          <w:p w14:paraId="5A710539" w14:textId="77777777" w:rsidR="00672249" w:rsidRDefault="00E5629D">
            <w:pPr>
              <w:rPr>
                <w:color w:val="000000"/>
                <w:sz w:val="22"/>
                <w:szCs w:val="22"/>
              </w:rPr>
            </w:pPr>
            <w:r>
              <w:rPr>
                <w:color w:val="000000"/>
                <w:sz w:val="22"/>
                <w:szCs w:val="22"/>
              </w:rPr>
              <w:t>PFOA</w:t>
            </w:r>
          </w:p>
          <w:p w14:paraId="3CE23B77" w14:textId="77777777" w:rsidR="00672249" w:rsidRDefault="00672249">
            <w:pPr>
              <w:rPr>
                <w:color w:val="000000"/>
                <w:sz w:val="22"/>
                <w:szCs w:val="22"/>
              </w:rPr>
            </w:pPr>
          </w:p>
          <w:p w14:paraId="4E102350" w14:textId="77777777" w:rsidR="00672249" w:rsidRDefault="00E5629D">
            <w:pPr>
              <w:rPr>
                <w:color w:val="000000"/>
                <w:sz w:val="22"/>
                <w:szCs w:val="22"/>
              </w:rPr>
            </w:pPr>
            <w:r>
              <w:rPr>
                <w:color w:val="000000"/>
                <w:sz w:val="22"/>
                <w:szCs w:val="22"/>
              </w:rPr>
              <w:t>PFOS</w:t>
            </w:r>
          </w:p>
        </w:tc>
        <w:tc>
          <w:tcPr>
            <w:tcW w:w="1350" w:type="dxa"/>
            <w:tcBorders>
              <w:top w:val="single" w:sz="6" w:space="0" w:color="DDDDDD"/>
              <w:left w:val="single" w:sz="6" w:space="0" w:color="DDDDDD"/>
              <w:bottom w:val="single" w:sz="6" w:space="0" w:color="DDDDDD"/>
            </w:tcBorders>
            <w:shd w:val="clear" w:color="auto" w:fill="578FBF"/>
            <w:tcMar>
              <w:top w:w="120" w:type="dxa"/>
              <w:left w:w="120" w:type="dxa"/>
              <w:bottom w:w="120" w:type="dxa"/>
              <w:right w:w="120" w:type="dxa"/>
            </w:tcMar>
            <w:vAlign w:val="center"/>
            <w:hideMark/>
          </w:tcPr>
          <w:p w14:paraId="5C27A128" w14:textId="77777777" w:rsidR="00672249" w:rsidRDefault="00E5629D">
            <w:pPr>
              <w:rPr>
                <w:color w:val="000000"/>
                <w:sz w:val="22"/>
                <w:szCs w:val="22"/>
              </w:rPr>
            </w:pPr>
            <w:r>
              <w:rPr>
                <w:color w:val="000000"/>
                <w:sz w:val="22"/>
                <w:szCs w:val="22"/>
              </w:rPr>
              <w:t>13</w:t>
            </w:r>
          </w:p>
          <w:p w14:paraId="775E675A" w14:textId="77777777" w:rsidR="00672249" w:rsidRDefault="00672249">
            <w:pPr>
              <w:rPr>
                <w:color w:val="000000"/>
                <w:sz w:val="22"/>
                <w:szCs w:val="22"/>
              </w:rPr>
            </w:pPr>
          </w:p>
          <w:p w14:paraId="7BAFD024" w14:textId="77777777" w:rsidR="00672249" w:rsidRDefault="00E5629D">
            <w:pPr>
              <w:rPr>
                <w:color w:val="000000"/>
                <w:sz w:val="22"/>
                <w:szCs w:val="22"/>
              </w:rPr>
            </w:pPr>
            <w:r>
              <w:rPr>
                <w:color w:val="000000"/>
                <w:sz w:val="22"/>
                <w:szCs w:val="22"/>
              </w:rPr>
              <w:t>14</w:t>
            </w:r>
          </w:p>
          <w:p w14:paraId="22D0FD60" w14:textId="77777777" w:rsidR="00672249" w:rsidRDefault="00672249">
            <w:pPr>
              <w:rPr>
                <w:color w:val="000000"/>
                <w:sz w:val="22"/>
                <w:szCs w:val="22"/>
              </w:rPr>
            </w:pPr>
          </w:p>
          <w:p w14:paraId="46950EF0" w14:textId="77777777" w:rsidR="00672249" w:rsidRDefault="00E5629D">
            <w:pPr>
              <w:rPr>
                <w:color w:val="000000"/>
                <w:sz w:val="22"/>
                <w:szCs w:val="22"/>
              </w:rPr>
            </w:pPr>
            <w:r>
              <w:rPr>
                <w:color w:val="000000"/>
                <w:sz w:val="22"/>
                <w:szCs w:val="22"/>
              </w:rPr>
              <w:t>13</w:t>
            </w:r>
          </w:p>
        </w:tc>
      </w:tr>
      <w:tr w:rsidR="00672249" w14:paraId="027A1809" w14:textId="77777777">
        <w:tc>
          <w:tcPr>
            <w:tcW w:w="907" w:type="dxa"/>
            <w:tcBorders>
              <w:top w:val="single" w:sz="6" w:space="0" w:color="DDDDDD"/>
              <w:right w:val="single" w:sz="6" w:space="0" w:color="DDDDDD"/>
            </w:tcBorders>
            <w:shd w:val="clear" w:color="auto" w:fill="8EB4D4"/>
            <w:tcMar>
              <w:top w:w="120" w:type="dxa"/>
              <w:left w:w="120" w:type="dxa"/>
              <w:bottom w:w="120" w:type="dxa"/>
              <w:right w:w="120" w:type="dxa"/>
            </w:tcMar>
            <w:vAlign w:val="center"/>
            <w:hideMark/>
          </w:tcPr>
          <w:p w14:paraId="20B285CC" w14:textId="77777777" w:rsidR="00672249" w:rsidRDefault="00E5629D">
            <w:pPr>
              <w:rPr>
                <w:color w:val="000000"/>
                <w:sz w:val="22"/>
                <w:szCs w:val="22"/>
              </w:rPr>
            </w:pPr>
            <w:r>
              <w:rPr>
                <w:b/>
                <w:bCs/>
                <w:color w:val="000000"/>
                <w:sz w:val="22"/>
                <w:szCs w:val="22"/>
              </w:rPr>
              <w:t>VT</w:t>
            </w:r>
          </w:p>
        </w:tc>
        <w:tc>
          <w:tcPr>
            <w:tcW w:w="3675" w:type="dxa"/>
            <w:tcBorders>
              <w:top w:val="single" w:sz="6" w:space="0" w:color="DDDDDD"/>
              <w:left w:val="single" w:sz="6" w:space="0" w:color="DDDDDD"/>
              <w:right w:val="single" w:sz="6" w:space="0" w:color="DDDDDD"/>
            </w:tcBorders>
            <w:shd w:val="clear" w:color="auto" w:fill="8EB4D4"/>
            <w:tcMar>
              <w:top w:w="120" w:type="dxa"/>
              <w:left w:w="120" w:type="dxa"/>
              <w:bottom w:w="120" w:type="dxa"/>
              <w:right w:w="120" w:type="dxa"/>
            </w:tcMar>
            <w:vAlign w:val="center"/>
            <w:hideMark/>
          </w:tcPr>
          <w:p w14:paraId="7BC3B288" w14:textId="77777777" w:rsidR="00672249" w:rsidRDefault="00E5629D">
            <w:pPr>
              <w:rPr>
                <w:color w:val="000000"/>
                <w:sz w:val="22"/>
                <w:szCs w:val="22"/>
              </w:rPr>
            </w:pPr>
            <w:r>
              <w:rPr>
                <w:color w:val="000000"/>
                <w:sz w:val="22"/>
                <w:szCs w:val="22"/>
              </w:rPr>
              <w:t>Enforcement Standard</w:t>
            </w:r>
          </w:p>
        </w:tc>
        <w:tc>
          <w:tcPr>
            <w:tcW w:w="4770" w:type="dxa"/>
            <w:tcBorders>
              <w:top w:val="single" w:sz="6" w:space="0" w:color="DDDDDD"/>
              <w:left w:val="single" w:sz="6" w:space="0" w:color="DDDDDD"/>
              <w:right w:val="single" w:sz="6" w:space="0" w:color="DDDDDD"/>
            </w:tcBorders>
            <w:shd w:val="clear" w:color="auto" w:fill="8EB4D4"/>
            <w:tcMar>
              <w:top w:w="120" w:type="dxa"/>
              <w:left w:w="120" w:type="dxa"/>
              <w:bottom w:w="120" w:type="dxa"/>
              <w:right w:w="120" w:type="dxa"/>
            </w:tcMar>
            <w:vAlign w:val="center"/>
            <w:hideMark/>
          </w:tcPr>
          <w:p w14:paraId="1DA4F9EE" w14:textId="77777777" w:rsidR="00672249" w:rsidRDefault="00E5629D">
            <w:pPr>
              <w:rPr>
                <w:color w:val="000000"/>
                <w:sz w:val="22"/>
                <w:szCs w:val="22"/>
              </w:rPr>
            </w:pPr>
            <w:r>
              <w:rPr>
                <w:color w:val="000000"/>
                <w:sz w:val="22"/>
                <w:szCs w:val="22"/>
              </w:rPr>
              <w:t xml:space="preserve">Sum of PFOA, PFOS, PFNA, </w:t>
            </w:r>
            <w:proofErr w:type="spellStart"/>
            <w:r>
              <w:rPr>
                <w:color w:val="000000"/>
                <w:sz w:val="22"/>
                <w:szCs w:val="22"/>
              </w:rPr>
              <w:t>PFHxS</w:t>
            </w:r>
            <w:proofErr w:type="spellEnd"/>
            <w:r>
              <w:rPr>
                <w:color w:val="000000"/>
                <w:sz w:val="22"/>
                <w:szCs w:val="22"/>
              </w:rPr>
              <w:t xml:space="preserve">, and </w:t>
            </w:r>
            <w:proofErr w:type="spellStart"/>
            <w:r>
              <w:rPr>
                <w:color w:val="000000"/>
                <w:sz w:val="22"/>
                <w:szCs w:val="22"/>
              </w:rPr>
              <w:t>PFHpA</w:t>
            </w:r>
            <w:proofErr w:type="spellEnd"/>
          </w:p>
        </w:tc>
        <w:tc>
          <w:tcPr>
            <w:tcW w:w="1350" w:type="dxa"/>
            <w:tcBorders>
              <w:top w:val="single" w:sz="6" w:space="0" w:color="DDDDDD"/>
              <w:left w:val="single" w:sz="6" w:space="0" w:color="DDDDDD"/>
            </w:tcBorders>
            <w:shd w:val="clear" w:color="auto" w:fill="8EB4D4"/>
            <w:tcMar>
              <w:top w:w="120" w:type="dxa"/>
              <w:left w:w="120" w:type="dxa"/>
              <w:bottom w:w="120" w:type="dxa"/>
              <w:right w:w="120" w:type="dxa"/>
            </w:tcMar>
            <w:vAlign w:val="center"/>
            <w:hideMark/>
          </w:tcPr>
          <w:p w14:paraId="5D14CFF0" w14:textId="77777777" w:rsidR="00672249" w:rsidRDefault="00E5629D">
            <w:pPr>
              <w:rPr>
                <w:color w:val="000000"/>
                <w:sz w:val="22"/>
                <w:szCs w:val="22"/>
              </w:rPr>
            </w:pPr>
            <w:r>
              <w:rPr>
                <w:color w:val="000000"/>
                <w:sz w:val="22"/>
                <w:szCs w:val="22"/>
              </w:rPr>
              <w:t>20</w:t>
            </w:r>
          </w:p>
        </w:tc>
      </w:tr>
    </w:tbl>
    <w:p w14:paraId="20F8CFB0" w14:textId="77777777" w:rsidR="00672249" w:rsidRDefault="00672249">
      <w:pPr>
        <w:ind w:left="360"/>
      </w:pPr>
    </w:p>
    <w:p w14:paraId="0444522F" w14:textId="77777777" w:rsidR="00672249" w:rsidRDefault="00672249">
      <w:pPr>
        <w:ind w:left="360"/>
      </w:pPr>
    </w:p>
    <w:p w14:paraId="4C1184E1" w14:textId="77777777" w:rsidR="00672249" w:rsidRDefault="00672249">
      <w:pPr>
        <w:ind w:left="360"/>
      </w:pPr>
    </w:p>
    <w:p w14:paraId="5723813B" w14:textId="719B13CB" w:rsidR="00672249" w:rsidRDefault="00A92CA5">
      <w:pPr>
        <w:spacing w:after="160" w:line="259" w:lineRule="auto"/>
      </w:pPr>
      <w:bookmarkStart w:id="2" w:name="_GoBack"/>
      <w:r>
        <w:rPr>
          <w:noProof/>
        </w:rPr>
        <w:drawing>
          <wp:inline distT="0" distB="0" distL="0" distR="0" wp14:anchorId="65533786" wp14:editId="6795CF71">
            <wp:extent cx="6530340" cy="3316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gMap.jpg"/>
                    <pic:cNvPicPr/>
                  </pic:nvPicPr>
                  <pic:blipFill>
                    <a:blip r:embed="rId7">
                      <a:extLst>
                        <a:ext uri="{28A0092B-C50C-407E-A947-70E740481C1C}">
                          <a14:useLocalDpi xmlns:a14="http://schemas.microsoft.com/office/drawing/2010/main" val="0"/>
                        </a:ext>
                      </a:extLst>
                    </a:blip>
                    <a:stretch>
                      <a:fillRect/>
                    </a:stretch>
                  </pic:blipFill>
                  <pic:spPr>
                    <a:xfrm>
                      <a:off x="0" y="0"/>
                      <a:ext cx="6554597" cy="3328418"/>
                    </a:xfrm>
                    <a:prstGeom prst="rect">
                      <a:avLst/>
                    </a:prstGeom>
                  </pic:spPr>
                </pic:pic>
              </a:graphicData>
            </a:graphic>
          </wp:inline>
        </w:drawing>
      </w:r>
      <w:bookmarkEnd w:id="2"/>
    </w:p>
    <w:sectPr w:rsidR="0067224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E744" w14:textId="77777777" w:rsidR="00E5629D" w:rsidRDefault="00E5629D">
      <w:r>
        <w:separator/>
      </w:r>
    </w:p>
  </w:endnote>
  <w:endnote w:type="continuationSeparator" w:id="0">
    <w:p w14:paraId="045A2CEB" w14:textId="77777777" w:rsidR="00E5629D" w:rsidRDefault="00E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C9848" w14:textId="77777777" w:rsidR="00E5629D" w:rsidRDefault="00E5629D">
      <w:r>
        <w:separator/>
      </w:r>
    </w:p>
  </w:footnote>
  <w:footnote w:type="continuationSeparator" w:id="0">
    <w:p w14:paraId="25A0BC9D" w14:textId="77777777" w:rsidR="00E5629D" w:rsidRDefault="00E5629D">
      <w:r>
        <w:continuationSeparator/>
      </w:r>
    </w:p>
  </w:footnote>
  <w:footnote w:id="1">
    <w:p w14:paraId="68CE19D5" w14:textId="77777777" w:rsidR="00672249" w:rsidRDefault="00E5629D">
      <w:pPr>
        <w:rPr>
          <w:rFonts w:ascii="Calibri" w:eastAsia="Calibri" w:hAnsi="Calibri" w:cs="Calibri"/>
          <w:color w:val="000000"/>
          <w:vertAlign w:val="superscript"/>
        </w:rPr>
      </w:pPr>
      <w:r>
        <w:rPr>
          <w:rStyle w:val="FootnoteReference"/>
          <w:rFonts w:ascii="Calibri" w:eastAsia="Calibri" w:hAnsi="Calibri" w:cs="Calibri"/>
          <w:color w:val="000000"/>
        </w:rPr>
        <w:footnoteRef/>
      </w:r>
      <w:r>
        <w:rPr>
          <w:rFonts w:ascii="Calibri" w:eastAsia="Calibri" w:hAnsi="Calibri" w:cs="Calibri"/>
        </w:rPr>
        <w:t xml:space="preserve"> This level, proposed by the CA</w:t>
      </w:r>
      <w:r>
        <w:rPr>
          <w:rFonts w:ascii="Calibri" w:eastAsia="Calibri" w:hAnsi="Calibri" w:cs="Calibri"/>
        </w:rPr>
        <w:t xml:space="preserve"> Division of Drinking Water, would require removing a water source from service if the concentration level cannot be reduced below the 70 ppt Response Level. </w:t>
      </w:r>
    </w:p>
    <w:p w14:paraId="45C1FBA3" w14:textId="77777777" w:rsidR="00672249" w:rsidRDefault="00672249"/>
  </w:footnote>
  <w:footnote w:id="2">
    <w:p w14:paraId="3DDF6E56" w14:textId="77777777" w:rsidR="00672249" w:rsidRDefault="00E5629D">
      <w:pPr>
        <w:rPr>
          <w:rFonts w:ascii="Calibri" w:eastAsia="Calibri" w:hAnsi="Calibri" w:cs="Calibri"/>
          <w:color w:val="000000"/>
          <w:vertAlign w:val="superscript"/>
        </w:rPr>
      </w:pPr>
      <w:r>
        <w:rPr>
          <w:rStyle w:val="FootnoteReference"/>
          <w:rFonts w:ascii="Calibri" w:eastAsia="Calibri" w:hAnsi="Calibri" w:cs="Calibri"/>
          <w:color w:val="000000"/>
        </w:rPr>
        <w:footnoteRef/>
      </w:r>
      <w:r>
        <w:rPr>
          <w:rFonts w:ascii="Calibri" w:eastAsia="Calibri" w:hAnsi="Calibri" w:cs="Calibri"/>
        </w:rPr>
        <w:t xml:space="preserve"> This level, proposed by the CA Division of Drinking Water, would require removing a water sour</w:t>
      </w:r>
      <w:r>
        <w:rPr>
          <w:rFonts w:ascii="Calibri" w:eastAsia="Calibri" w:hAnsi="Calibri" w:cs="Calibri"/>
        </w:rPr>
        <w:t xml:space="preserve">ce from service or adding proper treatment when the concentration exceeds the Notification Levels of 13 ppt (PFOS) and/or 14 ppt (PFOA). </w:t>
      </w:r>
    </w:p>
    <w:p w14:paraId="3F98B614" w14:textId="77777777" w:rsidR="00672249" w:rsidRDefault="00672249"/>
  </w:footnote>
  <w:footnote w:id="3">
    <w:p w14:paraId="608DF920" w14:textId="77777777" w:rsidR="00672249" w:rsidRDefault="00E5629D">
      <w:pPr>
        <w:rPr>
          <w:rFonts w:ascii="Calibri" w:eastAsia="Calibri" w:hAnsi="Calibri" w:cs="Calibri"/>
          <w:color w:val="000000"/>
          <w:vertAlign w:val="superscript"/>
        </w:rPr>
      </w:pPr>
      <w:r>
        <w:rPr>
          <w:rStyle w:val="FootnoteReference"/>
          <w:rFonts w:ascii="Calibri" w:eastAsia="Calibri" w:hAnsi="Calibri" w:cs="Calibri"/>
          <w:color w:val="000000"/>
        </w:rPr>
        <w:footnoteRef/>
      </w:r>
      <w:r>
        <w:rPr>
          <w:rFonts w:ascii="Calibri" w:eastAsia="Calibri" w:hAnsi="Calibri" w:cs="Calibri"/>
        </w:rPr>
        <w:t xml:space="preserve"> In rulemaking process now, final proposals expected to be filed Summer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3"/>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6"/>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3"/>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2249"/>
    <w:rsid w:val="00672249"/>
    <w:rsid w:val="00A92CA5"/>
    <w:rsid w:val="00E5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9C9A"/>
  <w15:docId w15:val="{EA3DC163-A7ED-4EA3-94E5-A4EE8339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Goldberg</cp:lastModifiedBy>
  <cp:revision>1</cp:revision>
  <dcterms:created xsi:type="dcterms:W3CDTF">2019-02-25T20:44:00Z</dcterms:created>
  <dcterms:modified xsi:type="dcterms:W3CDTF">2019-02-25T20:45:00Z</dcterms:modified>
</cp:coreProperties>
</file>