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>
      <w:pPr>
        <w:spacing w:before="0" w:after="0"/>
        <w:rPr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MASTERS OF MASS TORT: MASS TORT SPEED SESSION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280"/>
      </w:pPr>
      <w:r>
        <w:rPr>
          <w:rFonts w:ascii="Calibri" w:eastAsia="Calibri" w:hAnsi="Calibri" w:cs="Calibri"/>
          <w:b/>
          <w:bCs/>
        </w:rPr>
        <w:t>NAME OF LITIGATION: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ZIMMER M/L TAPER HIP PROSTHESIS OR M/L TAPER</w:t>
      </w:r>
      <w:r>
        <w:rPr>
          <w:rFonts w:ascii="Times New Roman" w:eastAsia="Times New Roman" w:hAnsi="Times New Roman" w:cs="Times New Roman"/>
          <w:color w:val="231F20"/>
        </w:rPr>
        <w:br/>
      </w:r>
      <w:r>
        <w:rPr>
          <w:rFonts w:ascii="Times New Roman" w:eastAsia="Times New Roman" w:hAnsi="Times New Roman" w:cs="Times New Roman"/>
          <w:color w:val="231F20"/>
        </w:rPr>
        <w:t>HIP PROSTHESIS WITH KINECTIV TECHNOLOGY AND VERSYS FEMORAL HEAD PRODUCTS LIABILITY LITIGATION</w:t>
      </w:r>
    </w:p>
    <w:p>
      <w:pPr>
        <w:spacing w:before="0" w:after="0"/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</w:rPr>
        <w:t xml:space="preserve"> Zimmer M/L Taper for short)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  <w:r>
        <w:rPr>
          <w:rFonts w:ascii="Calibri" w:eastAsia="Calibri" w:hAnsi="Calibri" w:cs="Calibri"/>
          <w:b/>
          <w:bCs/>
        </w:rPr>
        <w:t>A BREIF SUMMARY: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(Please describe the </w:t>
      </w:r>
      <w:r>
        <w:rPr>
          <w:rFonts w:ascii="Calibri" w:eastAsia="Calibri" w:hAnsi="Calibri" w:cs="Calibri"/>
          <w:i/>
          <w:iCs/>
          <w:sz w:val="22"/>
          <w:szCs w:val="22"/>
        </w:rPr>
        <w:t>overall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 </w:t>
      </w:r>
      <w:r>
        <w:rPr>
          <w:rFonts w:ascii="Calibri" w:eastAsia="Calibri" w:hAnsi="Calibri" w:cs="Calibri"/>
          <w:i/>
          <w:iCs/>
          <w:sz w:val="22"/>
          <w:szCs w:val="22"/>
        </w:rPr>
        <w:t>litigation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in 3-5 sentences.)</w:t>
      </w:r>
    </w:p>
    <w:p>
      <w:pPr>
        <w:spacing w:before="0" w:after="0"/>
      </w:pPr>
    </w:p>
    <w:p>
      <w:pPr>
        <w:spacing w:before="0" w:after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MDL is specifically for </w:t>
      </w:r>
      <w:r>
        <w:rPr>
          <w:rFonts w:ascii="Calibri" w:eastAsia="Calibri" w:hAnsi="Calibri" w:cs="Calibri"/>
          <w:sz w:val="22"/>
          <w:szCs w:val="22"/>
        </w:rPr>
        <w:t>those implanted with the one of two component combinations-</w:t>
      </w:r>
      <w:r>
        <w:rPr>
          <w:rFonts w:ascii="Calibri" w:eastAsia="Calibri" w:hAnsi="Calibri" w:cs="Calibri"/>
          <w:sz w:val="22"/>
          <w:szCs w:val="22"/>
        </w:rPr>
        <w:t xml:space="preserve"> either the Zimmer M/L Taper and </w:t>
      </w:r>
      <w:r>
        <w:rPr>
          <w:rFonts w:ascii="Calibri" w:eastAsia="Calibri" w:hAnsi="Calibri" w:cs="Calibri"/>
          <w:sz w:val="22"/>
          <w:szCs w:val="22"/>
        </w:rPr>
        <w:t>Versys</w:t>
      </w:r>
      <w:r>
        <w:rPr>
          <w:rFonts w:ascii="Calibri" w:eastAsia="Calibri" w:hAnsi="Calibri" w:cs="Calibri"/>
          <w:sz w:val="22"/>
          <w:szCs w:val="22"/>
        </w:rPr>
        <w:t xml:space="preserve"> formal head or the Zimmer M/L Taper with </w:t>
      </w:r>
      <w:r>
        <w:rPr>
          <w:rFonts w:ascii="Calibri" w:eastAsia="Calibri" w:hAnsi="Calibri" w:cs="Calibri"/>
          <w:sz w:val="22"/>
          <w:szCs w:val="22"/>
        </w:rPr>
        <w:t>Kinectiv</w:t>
      </w:r>
      <w:r>
        <w:rPr>
          <w:rFonts w:ascii="Calibri" w:eastAsia="Calibri" w:hAnsi="Calibri" w:cs="Calibri"/>
          <w:sz w:val="22"/>
          <w:szCs w:val="22"/>
        </w:rPr>
        <w:t xml:space="preserve"> technology with the </w:t>
      </w:r>
      <w:r>
        <w:rPr>
          <w:rFonts w:ascii="Calibri" w:eastAsia="Calibri" w:hAnsi="Calibri" w:cs="Calibri"/>
          <w:sz w:val="22"/>
          <w:szCs w:val="22"/>
        </w:rPr>
        <w:t>Versys</w:t>
      </w:r>
      <w:r>
        <w:rPr>
          <w:rFonts w:ascii="Calibri" w:eastAsia="Calibri" w:hAnsi="Calibri" w:cs="Calibri"/>
          <w:sz w:val="22"/>
          <w:szCs w:val="22"/>
        </w:rPr>
        <w:t xml:space="preserve"> head. The </w:t>
      </w:r>
      <w:r>
        <w:rPr>
          <w:rFonts w:ascii="Calibri" w:eastAsia="Calibri" w:hAnsi="Calibri" w:cs="Calibri"/>
          <w:sz w:val="22"/>
          <w:szCs w:val="22"/>
        </w:rPr>
        <w:t>Kinectiv</w:t>
      </w:r>
      <w:r>
        <w:rPr>
          <w:rFonts w:ascii="Calibri" w:eastAsia="Calibri" w:hAnsi="Calibri" w:cs="Calibri"/>
          <w:sz w:val="22"/>
          <w:szCs w:val="22"/>
        </w:rPr>
        <w:t xml:space="preserve"> stem is the dual modular version of the original and predicate device, the M/L Taper. Plaintiffs allege that the use of the cobalt chromium </w:t>
      </w:r>
      <w:r>
        <w:rPr>
          <w:rFonts w:ascii="Calibri" w:eastAsia="Calibri" w:hAnsi="Calibri" w:cs="Calibri"/>
          <w:sz w:val="22"/>
          <w:szCs w:val="22"/>
        </w:rPr>
        <w:t>Versys</w:t>
      </w:r>
      <w:r>
        <w:rPr>
          <w:rFonts w:ascii="Calibri" w:eastAsia="Calibri" w:hAnsi="Calibri" w:cs="Calibri"/>
          <w:sz w:val="22"/>
          <w:szCs w:val="22"/>
        </w:rPr>
        <w:t xml:space="preserve"> head with these stems create fretting and corrosion at the </w:t>
      </w:r>
      <w:r>
        <w:rPr>
          <w:rFonts w:ascii="Calibri" w:eastAsia="Calibri" w:hAnsi="Calibri" w:cs="Calibri"/>
          <w:sz w:val="22"/>
          <w:szCs w:val="22"/>
        </w:rPr>
        <w:t>trunnion</w:t>
      </w:r>
      <w:r>
        <w:rPr>
          <w:rFonts w:ascii="Calibri" w:eastAsia="Calibri" w:hAnsi="Calibri" w:cs="Calibri"/>
          <w:sz w:val="22"/>
          <w:szCs w:val="22"/>
        </w:rPr>
        <w:t xml:space="preserve"> resulting in increased levels of cobalt and chromium in the blood stream, </w:t>
      </w:r>
      <w:r>
        <w:rPr>
          <w:rFonts w:ascii="Calibri" w:eastAsia="Calibri" w:hAnsi="Calibri" w:cs="Calibri"/>
          <w:sz w:val="22"/>
          <w:szCs w:val="22"/>
        </w:rPr>
        <w:t>psuedotumors</w:t>
      </w:r>
      <w:r>
        <w:rPr>
          <w:rFonts w:ascii="Calibri" w:eastAsia="Calibri" w:hAnsi="Calibri" w:cs="Calibri"/>
          <w:sz w:val="22"/>
          <w:szCs w:val="22"/>
        </w:rPr>
        <w:t xml:space="preserve"> and in many cases revision surgery. Some Plaintiffs also experience complications such as abductor damage, dislocations and complicated re-revisions. 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</w:pPr>
      <w:r>
        <w:rPr>
          <w:rFonts w:ascii="Calibri" w:eastAsia="Calibri" w:hAnsi="Calibri" w:cs="Calibri"/>
          <w:b/>
          <w:bCs/>
        </w:rPr>
        <w:t>THE BIG PICTURE: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i/>
          <w:iCs/>
          <w:sz w:val="22"/>
          <w:szCs w:val="22"/>
        </w:rPr>
        <w:t>(Please include 5-10 bullet points describing the case against the defendant.)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ind w:left="72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 xml:space="preserve">Defendant knew or should have known the dangers of pairing these devices. Problems regarding these kinds of titanium stems paired with cobalt chromium heads were known since the early 1990s. </w:t>
      </w:r>
    </w:p>
    <w:p>
      <w:pPr>
        <w:spacing w:before="0" w:after="0"/>
        <w:ind w:left="72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>Lack of testing- Defendant has never conducted any study on the corrosion characteristics of this stem and head pairing.</w:t>
      </w:r>
    </w:p>
    <w:p>
      <w:pPr>
        <w:spacing w:before="0" w:after="0"/>
        <w:ind w:left="72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 xml:space="preserve">Poor design of the head-neck </w:t>
      </w:r>
      <w:r>
        <w:rPr>
          <w:rFonts w:ascii="Calibri" w:eastAsia="Calibri" w:hAnsi="Calibri" w:cs="Calibri"/>
          <w:sz w:val="22"/>
          <w:szCs w:val="22"/>
        </w:rPr>
        <w:t>junction ,</w:t>
      </w:r>
      <w:r>
        <w:rPr>
          <w:rFonts w:ascii="Calibri" w:eastAsia="Calibri" w:hAnsi="Calibri" w:cs="Calibri"/>
          <w:sz w:val="22"/>
          <w:szCs w:val="22"/>
        </w:rPr>
        <w:t xml:space="preserve"> such that micro-motion was predictable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left="72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>Poor manufacturing practices such that the taper neck junction between the head and neck do not “fit” the way they were intended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left="72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>Defendants failed to disclose the greater risk of wear, metal debris, and corrosion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</w:pPr>
      <w:r>
        <w:rPr>
          <w:rFonts w:ascii="Calibri" w:eastAsia="Calibri" w:hAnsi="Calibri" w:cs="Calibri"/>
          <w:b/>
          <w:bCs/>
        </w:rPr>
        <w:t>THE NUMBERS: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(Please include 5-10 bullet points describing </w:t>
      </w:r>
      <w:r>
        <w:rPr>
          <w:rFonts w:ascii="Calibri" w:eastAsia="Calibri" w:hAnsi="Calibri" w:cs="Calibri"/>
          <w:i/>
          <w:iCs/>
          <w:sz w:val="22"/>
          <w:szCs w:val="22"/>
        </w:rPr>
        <w:t>outlining the mass tort by the numbers, i.e. number of people who used a specific drug, expected number of cases in the US, approximate cost of injuries, etc</w:t>
      </w:r>
      <w:r>
        <w:rPr>
          <w:rFonts w:ascii="Calibri" w:eastAsia="Calibri" w:hAnsi="Calibri" w:cs="Calibri"/>
          <w:i/>
          <w:iCs/>
          <w:sz w:val="22"/>
          <w:szCs w:val="22"/>
        </w:rPr>
        <w:t>.)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ind w:left="72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>Currently the MDL is small with approximately 50 cases, however, a direct filing order was just entered and we anticipate additional cases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left="72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 xml:space="preserve">Over 20 cases currently sit in state courts across the country. The next trial is set for this summer in Florida. </w:t>
      </w:r>
    </w:p>
    <w:p>
      <w:pPr>
        <w:spacing w:before="0" w:after="0"/>
        <w:ind w:left="72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z w:val="22"/>
          <w:szCs w:val="22"/>
        </w:rPr>
        <w:t>Kinectiv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z w:val="22"/>
          <w:szCs w:val="22"/>
        </w:rPr>
        <w:t>Versys</w:t>
      </w:r>
      <w:r>
        <w:rPr>
          <w:rFonts w:ascii="Calibri" w:eastAsia="Calibri" w:hAnsi="Calibri" w:cs="Calibri"/>
          <w:sz w:val="22"/>
          <w:szCs w:val="22"/>
        </w:rPr>
        <w:t xml:space="preserve"> case has been tried in New Mexico and resulted in a verdict for the plaintiff.</w:t>
      </w:r>
    </w:p>
    <w:p>
      <w:pPr>
        <w:spacing w:before="0" w:after="0"/>
        <w:ind w:left="72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 xml:space="preserve">We believe many more cases are out there, but because Defendant has failed to warn or issue a safety notice, many patients do not know they </w:t>
      </w:r>
      <w:r>
        <w:rPr>
          <w:rFonts w:ascii="Calibri" w:eastAsia="Calibri" w:hAnsi="Calibri" w:cs="Calibri"/>
          <w:sz w:val="22"/>
          <w:szCs w:val="22"/>
        </w:rPr>
        <w:t>are implanted</w:t>
      </w:r>
      <w:r>
        <w:rPr>
          <w:rFonts w:ascii="Calibri" w:eastAsia="Calibri" w:hAnsi="Calibri" w:cs="Calibri"/>
          <w:sz w:val="22"/>
          <w:szCs w:val="22"/>
        </w:rPr>
        <w:t xml:space="preserve"> this particular combination of devices. </w:t>
      </w:r>
    </w:p>
    <w:p>
      <w:pPr>
        <w:spacing w:before="0" w:after="0"/>
        <w:ind w:left="720"/>
        <w:rPr>
          <w:sz w:val="22"/>
          <w:szCs w:val="22"/>
        </w:rPr>
      </w:pPr>
    </w:p>
    <w:p>
      <w:pPr>
        <w:spacing w:before="0" w:after="0"/>
      </w:pPr>
    </w:p>
    <w:p>
      <w:pPr>
        <w:spacing w:before="0" w:after="0"/>
      </w:pPr>
      <w:r>
        <w:rPr>
          <w:rFonts w:ascii="Calibri" w:eastAsia="Calibri" w:hAnsi="Calibri" w:cs="Calibri"/>
          <w:b/>
          <w:bCs/>
        </w:rPr>
        <w:t>CURRENT LITIGATION/MDL STATUS: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i/>
          <w:iCs/>
          <w:sz w:val="22"/>
          <w:szCs w:val="22"/>
        </w:rPr>
        <w:t>(Please include 3-5 bullet points explaining where the litigation currently stands, where cases have been filed, etc.)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ind w:left="72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>Direct filing order just signed</w:t>
      </w:r>
    </w:p>
    <w:p>
      <w:pPr>
        <w:spacing w:before="0" w:after="0"/>
        <w:ind w:left="72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 xml:space="preserve">Plaintiff Profile Form, Plaintiff Fact Sheet and Defendant Fact Sheet order </w:t>
      </w:r>
      <w:r>
        <w:rPr>
          <w:rFonts w:ascii="Calibri" w:eastAsia="Calibri" w:hAnsi="Calibri" w:cs="Calibri"/>
          <w:sz w:val="22"/>
          <w:szCs w:val="22"/>
        </w:rPr>
        <w:t>will be signed shortly</w:t>
      </w:r>
    </w:p>
    <w:p>
      <w:pPr>
        <w:spacing w:before="0" w:after="0"/>
        <w:ind w:left="72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>Upcoming Science Day on March 27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</w:p>
    <w:p>
      <w:pPr>
        <w:spacing w:before="0" w:after="0"/>
        <w:ind w:left="72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>Bellwether pool still open</w:t>
      </w:r>
    </w:p>
    <w:p>
      <w:pPr>
        <w:spacing w:before="0" w:after="0"/>
        <w:ind w:left="72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>Current scheduling order has us set for trial mid 2020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</w:pPr>
      <w:r>
        <w:rPr>
          <w:rFonts w:ascii="Calibri" w:eastAsia="Calibri" w:hAnsi="Calibri" w:cs="Calibri"/>
          <w:b/>
          <w:bCs/>
        </w:rPr>
        <w:t>DEVELOPMENT OF LEADERSHIP: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i/>
          <w:iCs/>
          <w:sz w:val="22"/>
          <w:szCs w:val="22"/>
        </w:rPr>
        <w:t>(Please explain where the leadership currently stands, etc.)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ind w:left="72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>Four person PEC and five person PSC including the following:</w:t>
      </w:r>
    </w:p>
    <w:p>
      <w:pPr>
        <w:numPr>
          <w:ilvl w:val="0"/>
          <w:numId w:val="1"/>
        </w:numPr>
        <w:pBdr>
          <w:left w:val="none" w:sz="0" w:space="6" w:color="auto"/>
        </w:pBdr>
        <w:spacing w:before="0"/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Ashleigh Raso</w:t>
      </w:r>
    </w:p>
    <w:p>
      <w:pPr>
        <w:numPr>
          <w:ilvl w:val="0"/>
          <w:numId w:val="1"/>
        </w:numPr>
        <w:pBdr>
          <w:left w:val="none" w:sz="0" w:space="6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Brenda Fulmer</w:t>
      </w:r>
    </w:p>
    <w:p>
      <w:pPr>
        <w:numPr>
          <w:ilvl w:val="0"/>
          <w:numId w:val="1"/>
        </w:numPr>
        <w:pBdr>
          <w:left w:val="none" w:sz="0" w:space="6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Kelly McNabb</w:t>
      </w:r>
    </w:p>
    <w:p>
      <w:pPr>
        <w:numPr>
          <w:ilvl w:val="0"/>
          <w:numId w:val="1"/>
        </w:numPr>
        <w:pBdr>
          <w:left w:val="none" w:sz="0" w:space="6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Andrew </w:t>
      </w:r>
      <w:r>
        <w:rPr>
          <w:rFonts w:ascii="Calibri" w:eastAsia="Calibri" w:hAnsi="Calibri" w:cs="Calibri"/>
          <w:sz w:val="22"/>
          <w:szCs w:val="22"/>
        </w:rPr>
        <w:t>Norden</w:t>
      </w:r>
    </w:p>
    <w:p>
      <w:pPr>
        <w:numPr>
          <w:ilvl w:val="0"/>
          <w:numId w:val="1"/>
        </w:numPr>
        <w:pBdr>
          <w:left w:val="none" w:sz="0" w:space="6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Kevin Fitzgerald</w:t>
      </w:r>
    </w:p>
    <w:p>
      <w:pPr>
        <w:numPr>
          <w:ilvl w:val="0"/>
          <w:numId w:val="1"/>
        </w:numPr>
        <w:pBdr>
          <w:left w:val="none" w:sz="0" w:space="6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Alex Davis</w:t>
      </w:r>
    </w:p>
    <w:p>
      <w:pPr>
        <w:numPr>
          <w:ilvl w:val="0"/>
          <w:numId w:val="1"/>
        </w:numPr>
        <w:pBdr>
          <w:left w:val="none" w:sz="0" w:space="6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Peter Sandberg</w:t>
      </w:r>
    </w:p>
    <w:p>
      <w:pPr>
        <w:numPr>
          <w:ilvl w:val="0"/>
          <w:numId w:val="1"/>
        </w:numPr>
        <w:pBdr>
          <w:left w:val="none" w:sz="0" w:space="6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Laura </w:t>
      </w:r>
      <w:r>
        <w:rPr>
          <w:rFonts w:ascii="Calibri" w:eastAsia="Calibri" w:hAnsi="Calibri" w:cs="Calibri"/>
          <w:sz w:val="22"/>
          <w:szCs w:val="22"/>
        </w:rPr>
        <w:t>Pittner</w:t>
      </w:r>
    </w:p>
    <w:p>
      <w:pPr>
        <w:numPr>
          <w:ilvl w:val="0"/>
          <w:numId w:val="1"/>
        </w:numPr>
        <w:pBdr>
          <w:left w:val="none" w:sz="0" w:space="6" w:color="auto"/>
        </w:pBdr>
        <w:spacing w:after="0"/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Nick </w:t>
      </w:r>
      <w:r>
        <w:rPr>
          <w:rFonts w:ascii="Calibri" w:eastAsia="Calibri" w:hAnsi="Calibri" w:cs="Calibri"/>
          <w:sz w:val="22"/>
          <w:szCs w:val="22"/>
        </w:rPr>
        <w:t>Farnolo</w:t>
      </w:r>
    </w:p>
    <w:p>
      <w:pPr>
        <w:spacing w:before="0" w:after="0"/>
        <w:ind w:left="1440"/>
        <w:rPr>
          <w:sz w:val="22"/>
          <w:szCs w:val="22"/>
        </w:rPr>
      </w:pPr>
    </w:p>
    <w:p>
      <w:pPr>
        <w:spacing w:before="0" w:after="0"/>
      </w:pPr>
      <w:r>
        <w:rPr>
          <w:rFonts w:ascii="Calibri" w:eastAsia="Calibri" w:hAnsi="Calibri" w:cs="Calibri"/>
          <w:b/>
          <w:bCs/>
        </w:rPr>
        <w:t>RULINGS OF NOTE: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i/>
          <w:iCs/>
          <w:sz w:val="22"/>
          <w:szCs w:val="22"/>
        </w:rPr>
        <w:t>(Are there any rulings of note, specific orders, etc. that are important to know?)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Bellwether pool is still open so make sure you are filing quality cases. Feel free to reach out to the above to check on your case. 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</w:pPr>
      <w:r>
        <w:rPr>
          <w:rFonts w:ascii="Calibri" w:eastAsia="Calibri" w:hAnsi="Calibri" w:cs="Calibri"/>
          <w:b/>
          <w:bCs/>
        </w:rPr>
        <w:t>HOW TO GET INVOLVED: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(Is now a good time for a new firm to get involved? </w:t>
      </w:r>
      <w:r>
        <w:rPr>
          <w:rFonts w:ascii="Calibri" w:eastAsia="Calibri" w:hAnsi="Calibri" w:cs="Calibri"/>
          <w:i/>
          <w:iCs/>
          <w:sz w:val="22"/>
          <w:szCs w:val="22"/>
        </w:rPr>
        <w:t>Etc.)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Absolutely! We believe there are many more cases out there and we think this is </w:t>
      </w:r>
      <w:r>
        <w:rPr>
          <w:rFonts w:ascii="Calibri" w:eastAsia="Calibri" w:hAnsi="Calibri" w:cs="Calibri"/>
          <w:sz w:val="22"/>
          <w:szCs w:val="22"/>
        </w:rPr>
        <w:t>an important</w:t>
      </w:r>
      <w:r>
        <w:rPr>
          <w:rFonts w:ascii="Calibri" w:eastAsia="Calibri" w:hAnsi="Calibri" w:cs="Calibri"/>
          <w:sz w:val="22"/>
          <w:szCs w:val="22"/>
        </w:rPr>
        <w:t xml:space="preserve"> and high quality litigation. 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</w:pPr>
    </w:p>
    <w:p>
      <w:pPr>
        <w:spacing w:before="0" w:after="0"/>
      </w:pP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