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0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MASTERS OF MASS TORT: MASS TORT SPEED SESSION</w:t>
      </w:r>
    </w:p>
    <w:p>
      <w:pPr>
        <w:spacing w:before="0" w:after="0"/>
      </w:pPr>
    </w:p>
    <w:p>
      <w:pPr>
        <w:spacing w:before="0" w:after="0"/>
      </w:pPr>
    </w:p>
    <w:p>
      <w:pPr>
        <w:widowControl w:val="0"/>
        <w:spacing w:before="0" w:after="0" w:line="280" w:lineRule="atLeast"/>
      </w:pPr>
      <w:r>
        <w:rPr>
          <w:rFonts w:ascii="Calibri" w:eastAsia="Calibri" w:hAnsi="Calibri" w:cs="Calibri"/>
          <w:b/>
          <w:bCs/>
        </w:rPr>
        <w:t>NAME OF LITIGATION:</w:t>
      </w:r>
      <w:r>
        <w:rPr>
          <w:rFonts w:ascii="Calibri" w:eastAsia="Calibri" w:hAnsi="Calibri" w:cs="Calibri"/>
          <w:b/>
          <w:bCs/>
        </w:rPr>
        <w:t xml:space="preserve"> </w:t>
      </w:r>
    </w:p>
    <w:p>
      <w:pPr>
        <w:widowControl w:val="0"/>
        <w:spacing w:before="0" w:after="0" w:line="280" w:lineRule="atLeast"/>
        <w:ind w:left="720" w:hanging="360"/>
      </w:pPr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IN RE: PROTON PUMP INHIBITOR PRODUCTS LIABILITY LITIGATION (NO. II)</w:t>
      </w:r>
      <w:r>
        <w:rPr>
          <w:rFonts w:ascii="Calibri" w:eastAsia="Calibri" w:hAnsi="Calibri" w:cs="Calibri"/>
        </w:rPr>
        <w:t xml:space="preserve"> – MDL </w:t>
      </w:r>
      <w:r>
        <w:rPr>
          <w:rFonts w:ascii="Calibri" w:eastAsia="Calibri" w:hAnsi="Calibri" w:cs="Calibri"/>
        </w:rPr>
        <w:t>2789</w:t>
      </w:r>
    </w:p>
    <w:p>
      <w:pPr>
        <w:spacing w:before="0" w:after="0"/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A BREIF SUMMARY: 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The most com</w:t>
      </w:r>
      <w:r>
        <w:rPr>
          <w:rFonts w:ascii="Calibri" w:eastAsia="Calibri" w:hAnsi="Calibri" w:cs="Calibri"/>
        </w:rPr>
        <w:t xml:space="preserve">mon indication for PPIs is GERD </w:t>
      </w:r>
      <w:r>
        <w:rPr>
          <w:rFonts w:ascii="Calibri" w:eastAsia="Calibri" w:hAnsi="Calibri" w:cs="Calibri"/>
        </w:rPr>
        <w:t>and th</w:t>
      </w:r>
      <w:r>
        <w:rPr>
          <w:rFonts w:ascii="Calibri" w:eastAsia="Calibri" w:hAnsi="Calibri" w:cs="Calibri"/>
        </w:rPr>
        <w:t>e frequent heartburn it causes.</w:t>
      </w:r>
      <w:r>
        <w:rPr>
          <w:rFonts w:ascii="Calibri" w:eastAsia="Calibri" w:hAnsi="Calibri" w:cs="Calibri"/>
        </w:rPr>
        <w:t xml:space="preserve"> PPI treatment, however, can cause permanent, irreversible,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sometimes</w:t>
      </w:r>
      <w:r>
        <w:rPr>
          <w:rFonts w:ascii="Calibri" w:eastAsia="Calibri" w:hAnsi="Calibri" w:cs="Calibri"/>
        </w:rPr>
        <w:t xml:space="preserve"> life-threatening kidney damage. </w:t>
      </w:r>
      <w:r>
        <w:rPr>
          <w:rFonts w:ascii="Calibri" w:eastAsia="Calibri" w:hAnsi="Calibri" w:cs="Calibri"/>
        </w:rPr>
        <w:t>These kidney injuries include Ac</w:t>
      </w:r>
      <w:r>
        <w:rPr>
          <w:rFonts w:ascii="Calibri" w:eastAsia="Calibri" w:hAnsi="Calibri" w:cs="Calibri"/>
        </w:rPr>
        <w:t>ute Interstitial Nephritis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Acute Kidney injury, Chronic Kidney Disease, and End-Stage Renal Disease.</w:t>
      </w:r>
      <w:r>
        <w:rPr>
          <w:rFonts w:ascii="Calibri" w:eastAsia="Calibri" w:hAnsi="Calibri" w:cs="Calibri"/>
        </w:rPr>
        <w:t xml:space="preserve">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THE BIG PICTURE: 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 xml:space="preserve">Since the first known </w:t>
      </w:r>
      <w:r>
        <w:rPr>
          <w:rFonts w:ascii="Calibri" w:eastAsia="Calibri" w:hAnsi="Calibri" w:cs="Calibri"/>
        </w:rPr>
        <w:t>report of PPI-induced AIN in</w:t>
      </w:r>
      <w:r>
        <w:rPr>
          <w:rFonts w:ascii="Calibri" w:eastAsia="Calibri" w:hAnsi="Calibri" w:cs="Calibri"/>
        </w:rPr>
        <w:t xml:space="preserve"> 1992, there has been a growing </w:t>
      </w:r>
      <w:r>
        <w:rPr>
          <w:rFonts w:ascii="Calibri" w:eastAsia="Calibri" w:hAnsi="Calibri" w:cs="Calibri"/>
        </w:rPr>
        <w:t>body of evidence that PPIs no</w:t>
      </w:r>
      <w:r>
        <w:rPr>
          <w:rFonts w:ascii="Calibri" w:eastAsia="Calibri" w:hAnsi="Calibri" w:cs="Calibri"/>
        </w:rPr>
        <w:t>t only cause AIN but also CKD.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Even after the offending PPI is </w:t>
      </w:r>
      <w:r>
        <w:rPr>
          <w:rFonts w:ascii="Calibri" w:eastAsia="Calibri" w:hAnsi="Calibri" w:cs="Calibri"/>
        </w:rPr>
        <w:t>withdrawn, often kidney function does not fully return to baseline.</w:t>
      </w:r>
      <w:r>
        <w:rPr>
          <w:rFonts w:ascii="Calibri" w:eastAsia="Calibri" w:hAnsi="Calibri" w:cs="Calibri"/>
        </w:rPr>
        <w:t xml:space="preserve"> 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Defendants were required to revise their drug’s presc</w:t>
      </w:r>
      <w:r>
        <w:rPr>
          <w:rFonts w:ascii="Calibri" w:eastAsia="Calibri" w:hAnsi="Calibri" w:cs="Calibri"/>
        </w:rPr>
        <w:t>ription label to warn patients</w:t>
      </w:r>
      <w:r>
        <w:rPr>
          <w:rFonts w:ascii="Calibri" w:eastAsia="Calibri" w:hAnsi="Calibri" w:cs="Calibri"/>
        </w:rPr>
        <w:t xml:space="preserve"> about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risk of suffering “clinically significant adverse reactions . . . as soon as there is reasonable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evidence of a causal association” between that risk and the Def</w:t>
      </w:r>
      <w:r>
        <w:rPr>
          <w:rFonts w:ascii="Calibri" w:eastAsia="Calibri" w:hAnsi="Calibri" w:cs="Calibri"/>
        </w:rPr>
        <w:t>endants’ drugs.</w:t>
      </w:r>
      <w:r>
        <w:rPr>
          <w:rFonts w:ascii="Calibri" w:eastAsia="Calibri" w:hAnsi="Calibri" w:cs="Calibri"/>
        </w:rPr>
        <w:t xml:space="preserve"> 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The FDA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requires drug companies to include information about such risks in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“Warn</w:t>
      </w:r>
      <w:r>
        <w:rPr>
          <w:rFonts w:ascii="Calibri" w:eastAsia="Calibri" w:hAnsi="Calibri" w:cs="Calibri"/>
        </w:rPr>
        <w:t xml:space="preserve">ings and Precautions Section.” 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No warnings concerning kidney injury or kidney disease in association with PPI use were</w:t>
      </w:r>
      <w:r>
        <w:rPr>
          <w:rFonts w:ascii="Calibri" w:eastAsia="Calibri" w:hAnsi="Calibri" w:cs="Calibri"/>
        </w:rPr>
        <w:t xml:space="preserve"> conveyed to the public </w:t>
      </w:r>
      <w:r>
        <w:rPr>
          <w:rFonts w:ascii="Calibri" w:eastAsia="Calibri" w:hAnsi="Calibri" w:cs="Calibri"/>
        </w:rPr>
        <w:t>prior to December 2014. Even then,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warnings only addressed AIN, not chronic kidney disease. Moreover, the warnings were only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listed in the labeling for prescription PPIs and not over-the-counter medications (OTCs).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Not only should the Defendants have acted upon th</w:t>
      </w:r>
      <w:r>
        <w:rPr>
          <w:rFonts w:ascii="Calibri" w:eastAsia="Calibri" w:hAnsi="Calibri" w:cs="Calibri"/>
        </w:rPr>
        <w:t xml:space="preserve">e published medical literature,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they ha</w:t>
      </w:r>
      <w:r>
        <w:rPr>
          <w:rFonts w:ascii="Calibri" w:eastAsia="Calibri" w:hAnsi="Calibri" w:cs="Calibri"/>
        </w:rPr>
        <w:t>ve a duty to studiously monitor</w:t>
      </w:r>
      <w:r>
        <w:rPr>
          <w:rFonts w:ascii="Calibri" w:eastAsia="Calibri" w:hAnsi="Calibri" w:cs="Calibri"/>
        </w:rPr>
        <w:t>, but information known internally to Defendants 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further demonstrate their failure to act.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THE NUMBERS: 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Over 12,000 cases currently pending in the MDL.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PPIs were one of the top selling drugs in Uni</w:t>
      </w:r>
      <w:r>
        <w:rPr>
          <w:rFonts w:ascii="Calibri" w:eastAsia="Calibri" w:hAnsi="Calibri" w:cs="Calibri"/>
        </w:rPr>
        <w:t xml:space="preserve">ted States over the past decade. 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 xml:space="preserve">Treatment of Chronic Kidney injuries can continue for decades as the disease progresses and develops into further injuries like Dialysis and Kidney Transplant. </w:t>
      </w:r>
      <w:r>
        <w:rPr>
          <w:rFonts w:ascii="Calibri" w:eastAsia="Calibri" w:hAnsi="Calibri" w:cs="Calibri"/>
        </w:rPr>
        <w:t xml:space="preserve"> </w:t>
      </w:r>
    </w:p>
    <w:p>
      <w:pPr>
        <w:spacing w:before="0" w:after="0"/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CURRENT LITIGATION/MDL STATUS: 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Corporate depositions have begun and the first Bellwether Trial is scheduled for September 2020.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DEVELOPMENT OF LEADERSHIP: </w:t>
      </w:r>
    </w:p>
    <w:p>
      <w:pPr>
        <w:spacing w:before="0" w:after="0"/>
      </w:pP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 xml:space="preserve">Chris Seeger and Stephanie O’Connor – </w:t>
      </w:r>
      <w:r>
        <w:rPr>
          <w:rFonts w:ascii="Calibri" w:eastAsia="Calibri" w:hAnsi="Calibri" w:cs="Calibri"/>
          <w:b/>
          <w:bCs/>
        </w:rPr>
        <w:t>Co-Lead Counsel</w:t>
      </w:r>
    </w:p>
    <w:p>
      <w:pPr>
        <w:spacing w:before="0" w:after="0"/>
      </w:pP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 xml:space="preserve">Paul Pennock, Neil Overholtz and Roger Denton – </w:t>
      </w:r>
      <w:r>
        <w:rPr>
          <w:rFonts w:ascii="Calibri" w:eastAsia="Calibri" w:hAnsi="Calibri" w:cs="Calibri"/>
          <w:b/>
          <w:bCs/>
        </w:rPr>
        <w:t xml:space="preserve">Co-Charis of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>he Executive Committee</w:t>
      </w:r>
    </w:p>
    <w:p>
      <w:pPr>
        <w:spacing w:before="0" w:after="0"/>
        <w:ind w:left="720"/>
      </w:pP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 xml:space="preserve">Tracy </w:t>
      </w:r>
      <w:r>
        <w:rPr>
          <w:rFonts w:ascii="Calibri" w:eastAsia="Calibri" w:hAnsi="Calibri" w:cs="Calibri"/>
        </w:rPr>
        <w:t>Finken</w:t>
      </w:r>
      <w:r>
        <w:rPr>
          <w:rFonts w:ascii="Calibri" w:eastAsia="Calibri" w:hAnsi="Calibri" w:cs="Calibri"/>
        </w:rPr>
        <w:t xml:space="preserve">, Seth Katz, Navan Ward and Troy Rafferty – </w:t>
      </w:r>
      <w:r>
        <w:rPr>
          <w:rFonts w:ascii="Calibri" w:eastAsia="Calibri" w:hAnsi="Calibri" w:cs="Calibri"/>
          <w:b/>
          <w:bCs/>
        </w:rPr>
        <w:t>Executive Committee</w:t>
      </w:r>
      <w:r>
        <w:rPr>
          <w:rFonts w:ascii="Calibri" w:eastAsia="Calibri" w:hAnsi="Calibri" w:cs="Calibri"/>
        </w:rPr>
        <w:t xml:space="preserve">  </w:t>
      </w:r>
    </w:p>
    <w:p>
      <w:pPr>
        <w:spacing w:before="0" w:after="0"/>
      </w:pP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 xml:space="preserve">Bradley Honnold, </w:t>
      </w:r>
      <w:r>
        <w:rPr>
          <w:rFonts w:ascii="Calibri" w:eastAsia="Calibri" w:hAnsi="Calibri" w:cs="Calibri"/>
        </w:rPr>
        <w:t xml:space="preserve">Daniel </w:t>
      </w:r>
      <w:r>
        <w:rPr>
          <w:rFonts w:ascii="Calibri" w:eastAsia="Calibri" w:hAnsi="Calibri" w:cs="Calibri"/>
        </w:rPr>
        <w:t>Lapinsky</w:t>
      </w:r>
      <w:r>
        <w:rPr>
          <w:rFonts w:ascii="Calibri" w:eastAsia="Calibri" w:hAnsi="Calibri" w:cs="Calibri"/>
        </w:rPr>
        <w:t xml:space="preserve">, Shannon Pennock, </w:t>
      </w:r>
      <w:r>
        <w:rPr>
          <w:rFonts w:ascii="Calibri" w:eastAsia="Calibri" w:hAnsi="Calibri" w:cs="Calibri"/>
        </w:rPr>
        <w:t xml:space="preserve">Buffy </w:t>
      </w:r>
      <w:r>
        <w:rPr>
          <w:rFonts w:ascii="Calibri" w:eastAsia="Calibri" w:hAnsi="Calibri" w:cs="Calibri"/>
        </w:rPr>
        <w:t>Martines</w:t>
      </w:r>
      <w:r>
        <w:rPr>
          <w:rFonts w:ascii="Calibri" w:eastAsia="Calibri" w:hAnsi="Calibri" w:cs="Calibri"/>
        </w:rPr>
        <w:t xml:space="preserve">, Camp Bailey, </w:t>
      </w:r>
      <w:r>
        <w:rPr>
          <w:rFonts w:ascii="Calibri" w:eastAsia="Calibri" w:hAnsi="Calibri" w:cs="Calibri"/>
        </w:rPr>
        <w:t xml:space="preserve">Sindhu Daniel, </w:t>
      </w:r>
      <w:r>
        <w:rPr>
          <w:rFonts w:ascii="Calibri" w:eastAsia="Calibri" w:hAnsi="Calibri" w:cs="Calibri"/>
        </w:rPr>
        <w:t xml:space="preserve">Shayna Sacks, Daniel Gallucci, Jennie Anderson, Joseph </w:t>
      </w:r>
      <w:r>
        <w:rPr>
          <w:rFonts w:ascii="Calibri" w:eastAsia="Calibri" w:hAnsi="Calibri" w:cs="Calibri"/>
        </w:rPr>
        <w:t>Zonies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Sejal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Brahmbhatt</w:t>
      </w:r>
      <w:r>
        <w:rPr>
          <w:rFonts w:ascii="Calibri" w:eastAsia="Calibri" w:hAnsi="Calibri" w:cs="Calibri"/>
        </w:rPr>
        <w:t xml:space="preserve">, Norman Siegel, </w:t>
      </w:r>
      <w:r>
        <w:rPr>
          <w:rFonts w:ascii="Calibri" w:eastAsia="Calibri" w:hAnsi="Calibri" w:cs="Calibri"/>
        </w:rPr>
        <w:t>Derriel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McCorvey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  <w:b/>
          <w:bCs/>
        </w:rPr>
        <w:t>Plaintiffs’ Steering Committee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RULINGS OF NOTE: 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 xml:space="preserve">Judge </w:t>
      </w:r>
      <w:r>
        <w:rPr>
          <w:rFonts w:ascii="Calibri" w:eastAsia="Calibri" w:hAnsi="Calibri" w:cs="Calibri"/>
        </w:rPr>
        <w:t>Cecchi</w:t>
      </w:r>
      <w:r>
        <w:rPr>
          <w:rFonts w:ascii="Calibri" w:eastAsia="Calibri" w:hAnsi="Calibri" w:cs="Calibri"/>
        </w:rPr>
        <w:t xml:space="preserve"> denied Defendants’ request to bifurcate and front load Preemption and Causation only discovery.</w:t>
      </w:r>
    </w:p>
    <w:p>
      <w:pPr>
        <w:spacing w:before="0" w:after="0"/>
        <w:ind w:left="720" w:hanging="360"/>
      </w:pPr>
      <w:r>
        <w:rPr>
          <w:rFonts w:ascii="Calibri" w:eastAsia="Calibri" w:hAnsi="Calibri" w:cs="Calibri"/>
          <w:b/>
          <w:b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Direct Filing, Short Form Complaint, Simplified Service, PFS/DFS, Bellwether.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HOW TO GET INVOLVED: </w:t>
      </w:r>
    </w:p>
    <w:p>
      <w:pPr>
        <w:spacing w:before="0" w:after="0"/>
      </w:pPr>
    </w:p>
    <w:p>
      <w:pPr>
        <w:spacing w:before="0" w:after="0"/>
      </w:pPr>
      <w:r>
        <w:rPr>
          <w:rFonts w:ascii="Calibri" w:eastAsia="Calibri" w:hAnsi="Calibri" w:cs="Calibri"/>
        </w:rPr>
        <w:t xml:space="preserve">Attend the Speed Session and you’ll find out...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</w:p>
    <w:p>
      <w:pPr>
        <w:spacing w:before="0" w:after="0"/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